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4A1B" w14:textId="0D22036D" w:rsidR="007C17C1" w:rsidRPr="001D02F7" w:rsidRDefault="001D02F7" w:rsidP="001D02F7">
      <w:pPr>
        <w:spacing w:after="0"/>
        <w:jc w:val="right"/>
        <w:rPr>
          <w:rFonts w:ascii="Times New Roman" w:hAnsi="Times New Roman"/>
          <w:b/>
          <w:iCs/>
          <w:sz w:val="32"/>
          <w:szCs w:val="32"/>
        </w:rPr>
      </w:pPr>
      <w:r>
        <w:rPr>
          <w:rFonts w:ascii="Times New Roman" w:hAnsi="Times New Roman"/>
          <w:b/>
          <w:iCs/>
          <w:sz w:val="32"/>
          <w:szCs w:val="32"/>
        </w:rPr>
        <w:t>Версия 1</w:t>
      </w:r>
    </w:p>
    <w:p w14:paraId="6700CA58" w14:textId="64523DD2" w:rsidR="007C17C1" w:rsidRPr="007C17C1" w:rsidRDefault="00C13CFE" w:rsidP="007C17C1">
      <w:pPr>
        <w:spacing w:after="0"/>
        <w:jc w:val="center"/>
        <w:rPr>
          <w:rFonts w:ascii="Times New Roman" w:hAnsi="Times New Roman"/>
          <w:b/>
          <w:iCs/>
          <w:sz w:val="32"/>
          <w:szCs w:val="32"/>
        </w:rPr>
      </w:pPr>
      <w:r>
        <w:rPr>
          <w:rFonts w:ascii="Times New Roman" w:hAnsi="Times New Roman"/>
          <w:b/>
          <w:iCs/>
          <w:sz w:val="40"/>
          <w:szCs w:val="40"/>
        </w:rPr>
        <w:t xml:space="preserve">ПРИЛОЖЕНИЕ 1 КЪМ </w:t>
      </w:r>
      <w:r w:rsidR="007C17C1" w:rsidRPr="00B64D42">
        <w:rPr>
          <w:rFonts w:ascii="Times New Roman" w:hAnsi="Times New Roman"/>
          <w:b/>
          <w:iCs/>
          <w:sz w:val="40"/>
          <w:szCs w:val="40"/>
        </w:rPr>
        <w:t>УКАЗАНИЯ</w:t>
      </w:r>
    </w:p>
    <w:p w14:paraId="245F7853" w14:textId="77777777" w:rsidR="007C17C1" w:rsidRPr="007C17C1" w:rsidRDefault="007C17C1" w:rsidP="007C17C1">
      <w:pPr>
        <w:spacing w:before="120" w:after="120"/>
        <w:jc w:val="center"/>
        <w:rPr>
          <w:rFonts w:ascii="Times New Roman" w:hAnsi="Times New Roman"/>
          <w:b/>
          <w:iCs/>
          <w:sz w:val="24"/>
          <w:szCs w:val="24"/>
        </w:rPr>
      </w:pPr>
      <w:r w:rsidRPr="007C17C1">
        <w:rPr>
          <w:rFonts w:ascii="Times New Roman" w:hAnsi="Times New Roman"/>
          <w:b/>
          <w:iCs/>
          <w:sz w:val="24"/>
          <w:szCs w:val="24"/>
        </w:rPr>
        <w:t>ОТНОСНО ВЪЗМОЖНОСТИТЕ ЗА УВЕЛИЧАВАНЕ РАЗМЕРА</w:t>
      </w:r>
    </w:p>
    <w:p w14:paraId="7D97C045" w14:textId="77777777" w:rsidR="007C17C1" w:rsidRPr="007C17C1" w:rsidRDefault="007C17C1" w:rsidP="007C17C1">
      <w:pPr>
        <w:spacing w:before="120" w:after="120"/>
        <w:jc w:val="center"/>
        <w:rPr>
          <w:rFonts w:ascii="Times New Roman" w:hAnsi="Times New Roman"/>
          <w:b/>
          <w:iCs/>
          <w:sz w:val="24"/>
          <w:szCs w:val="24"/>
        </w:rPr>
      </w:pPr>
      <w:r w:rsidRPr="007C17C1">
        <w:rPr>
          <w:rFonts w:ascii="Times New Roman" w:hAnsi="Times New Roman"/>
          <w:b/>
          <w:iCs/>
          <w:sz w:val="24"/>
          <w:szCs w:val="24"/>
        </w:rPr>
        <w:t xml:space="preserve">НА БЕЗВЪЗМЕЗДНА ФИНАНСОВА ПОМОЩ ПО </w:t>
      </w:r>
      <w:r w:rsidR="00B64D42" w:rsidRPr="007C17C1">
        <w:rPr>
          <w:rFonts w:ascii="Times New Roman" w:hAnsi="Times New Roman"/>
          <w:b/>
          <w:iCs/>
          <w:sz w:val="24"/>
          <w:szCs w:val="24"/>
        </w:rPr>
        <w:t>ОПЕРАТИВНА ПРОГРАМА „РЕГИОНИ В РАСТЕЖ“ 2014-2020</w:t>
      </w:r>
      <w:r w:rsidRPr="007C17C1">
        <w:rPr>
          <w:rFonts w:ascii="Times New Roman" w:hAnsi="Times New Roman"/>
          <w:b/>
          <w:iCs/>
          <w:sz w:val="24"/>
          <w:szCs w:val="24"/>
        </w:rPr>
        <w:t>Г.</w:t>
      </w:r>
    </w:p>
    <w:p w14:paraId="41B81924" w14:textId="77777777" w:rsidR="007C17C1" w:rsidRPr="007C17C1" w:rsidRDefault="007C17C1" w:rsidP="007C17C1">
      <w:pPr>
        <w:spacing w:before="120" w:after="0"/>
        <w:jc w:val="center"/>
        <w:rPr>
          <w:rFonts w:ascii="Times New Roman" w:hAnsi="Times New Roman"/>
          <w:b/>
          <w:iCs/>
          <w:sz w:val="24"/>
          <w:szCs w:val="24"/>
        </w:rPr>
      </w:pPr>
      <w:r w:rsidRPr="007C17C1">
        <w:rPr>
          <w:rFonts w:ascii="Times New Roman" w:hAnsi="Times New Roman"/>
          <w:b/>
          <w:iCs/>
          <w:sz w:val="24"/>
          <w:szCs w:val="24"/>
        </w:rPr>
        <w:t>НА ОСНОВАНИЕ ИНДЕКСИРАНЕ НА РАЗХОДИТЕ ПО ДОГОВОРИ,</w:t>
      </w:r>
    </w:p>
    <w:p w14:paraId="4EA96081" w14:textId="77777777" w:rsidR="007C17C1" w:rsidRPr="007C17C1" w:rsidRDefault="007C17C1" w:rsidP="007C17C1">
      <w:pPr>
        <w:spacing w:after="0"/>
        <w:jc w:val="center"/>
        <w:rPr>
          <w:rFonts w:ascii="Times New Roman" w:hAnsi="Times New Roman"/>
          <w:b/>
          <w:iCs/>
          <w:sz w:val="24"/>
          <w:szCs w:val="24"/>
        </w:rPr>
      </w:pPr>
      <w:r w:rsidRPr="007C17C1">
        <w:rPr>
          <w:rFonts w:ascii="Times New Roman" w:hAnsi="Times New Roman"/>
          <w:b/>
          <w:iCs/>
          <w:sz w:val="24"/>
          <w:szCs w:val="24"/>
        </w:rPr>
        <w:t>СКЛЮЧЕНИ ПРИ УСЛОВИЯТА НА ЗАКОНА ЗА ОБЩЕСТВЕНИТЕ ПОРЪЧКИ,</w:t>
      </w:r>
      <w:r w:rsidR="00B64D42">
        <w:rPr>
          <w:rFonts w:ascii="Times New Roman" w:hAnsi="Times New Roman"/>
          <w:b/>
          <w:iCs/>
          <w:sz w:val="24"/>
          <w:szCs w:val="24"/>
        </w:rPr>
        <w:t xml:space="preserve"> </w:t>
      </w:r>
      <w:r w:rsidRPr="007C17C1">
        <w:rPr>
          <w:rFonts w:ascii="Times New Roman" w:hAnsi="Times New Roman"/>
          <w:b/>
          <w:iCs/>
          <w:sz w:val="24"/>
          <w:szCs w:val="24"/>
        </w:rPr>
        <w:t>ПРИ ИНФЛАЦИОННИ ПРОЦЕСИ</w:t>
      </w:r>
    </w:p>
    <w:p w14:paraId="52E81A51" w14:textId="77777777" w:rsidR="007C17C1" w:rsidRDefault="007C17C1" w:rsidP="007C17C1">
      <w:pPr>
        <w:spacing w:after="0"/>
        <w:jc w:val="center"/>
        <w:rPr>
          <w:rFonts w:ascii="Times New Roman" w:hAnsi="Times New Roman"/>
          <w:b/>
          <w:iCs/>
          <w:sz w:val="24"/>
          <w:szCs w:val="24"/>
        </w:rPr>
      </w:pPr>
      <w:bookmarkStart w:id="0" w:name="_GoBack"/>
      <w:bookmarkEnd w:id="0"/>
    </w:p>
    <w:p w14:paraId="39146D9A" w14:textId="16D9B75A" w:rsidR="00524460" w:rsidRDefault="00524460" w:rsidP="00C13CFE">
      <w:pPr>
        <w:pStyle w:val="ListParagraph"/>
        <w:spacing w:before="120" w:after="120"/>
        <w:ind w:left="1068"/>
        <w:jc w:val="center"/>
        <w:rPr>
          <w:rFonts w:ascii="Times New Roman" w:hAnsi="Times New Roman"/>
          <w:b/>
          <w:bCs/>
          <w:iCs/>
          <w:sz w:val="24"/>
          <w:szCs w:val="24"/>
        </w:rPr>
      </w:pPr>
      <w:r>
        <w:rPr>
          <w:rFonts w:ascii="Times New Roman" w:hAnsi="Times New Roman"/>
          <w:b/>
          <w:bCs/>
          <w:iCs/>
          <w:sz w:val="24"/>
          <w:szCs w:val="24"/>
        </w:rPr>
        <w:t>Аспекти от прилагането на индексацията по отношение на проектите по ОПРР 2014 – 2020</w:t>
      </w:r>
    </w:p>
    <w:p w14:paraId="688582CF" w14:textId="64D7917C" w:rsidR="009E2D28" w:rsidRPr="009E2D28" w:rsidRDefault="009E2D28" w:rsidP="009E2D28">
      <w:pPr>
        <w:spacing w:after="0"/>
        <w:ind w:firstLine="708"/>
        <w:jc w:val="both"/>
        <w:rPr>
          <w:rFonts w:ascii="Times New Roman" w:hAnsi="Times New Roman"/>
          <w:iCs/>
          <w:sz w:val="24"/>
          <w:szCs w:val="24"/>
        </w:rPr>
      </w:pPr>
      <w:r w:rsidRPr="009E2D28">
        <w:rPr>
          <w:rFonts w:ascii="Times New Roman" w:hAnsi="Times New Roman"/>
          <w:iCs/>
          <w:sz w:val="24"/>
          <w:szCs w:val="24"/>
        </w:rPr>
        <w:t xml:space="preserve">Към момента няма официални указания за прилагане на Методиката. В тази връзка, посочените разбирания за прилагане на формулата </w:t>
      </w:r>
      <w:r>
        <w:rPr>
          <w:rFonts w:ascii="Times New Roman" w:hAnsi="Times New Roman"/>
          <w:iCs/>
          <w:sz w:val="24"/>
          <w:szCs w:val="24"/>
        </w:rPr>
        <w:t xml:space="preserve">и </w:t>
      </w:r>
      <w:r w:rsidRPr="009E2D28">
        <w:rPr>
          <w:rFonts w:ascii="Times New Roman" w:hAnsi="Times New Roman"/>
          <w:iCs/>
          <w:sz w:val="24"/>
          <w:szCs w:val="24"/>
        </w:rPr>
        <w:t>за определяне размера на изменението на цената се съблюдават д</w:t>
      </w:r>
      <w:r>
        <w:rPr>
          <w:rFonts w:ascii="Times New Roman" w:hAnsi="Times New Roman"/>
          <w:iCs/>
          <w:sz w:val="24"/>
          <w:szCs w:val="24"/>
        </w:rPr>
        <w:t>о момента на публикуване на таки</w:t>
      </w:r>
      <w:r w:rsidRPr="009E2D28">
        <w:rPr>
          <w:rFonts w:ascii="Times New Roman" w:hAnsi="Times New Roman"/>
          <w:iCs/>
          <w:sz w:val="24"/>
          <w:szCs w:val="24"/>
        </w:rPr>
        <w:t>ва и в случай, че не е налице противоречие със същите.</w:t>
      </w:r>
    </w:p>
    <w:p w14:paraId="011FEA47" w14:textId="77777777" w:rsidR="00524460" w:rsidRDefault="00524460" w:rsidP="00524460">
      <w:pPr>
        <w:pStyle w:val="ListParagraph"/>
        <w:spacing w:before="120" w:after="120"/>
        <w:ind w:left="1068"/>
        <w:jc w:val="both"/>
        <w:rPr>
          <w:rFonts w:ascii="Times New Roman" w:hAnsi="Times New Roman"/>
          <w:b/>
          <w:bCs/>
          <w:iCs/>
          <w:sz w:val="24"/>
          <w:szCs w:val="24"/>
        </w:rPr>
      </w:pPr>
    </w:p>
    <w:p w14:paraId="57E13647" w14:textId="5AFD269D" w:rsidR="00C66643" w:rsidRPr="00C66643" w:rsidRDefault="00524460" w:rsidP="00524460">
      <w:pPr>
        <w:pStyle w:val="ListParagraph"/>
        <w:numPr>
          <w:ilvl w:val="0"/>
          <w:numId w:val="8"/>
        </w:numPr>
        <w:spacing w:before="120" w:after="120"/>
        <w:jc w:val="both"/>
        <w:rPr>
          <w:rFonts w:ascii="Times New Roman" w:hAnsi="Times New Roman"/>
          <w:b/>
          <w:iCs/>
          <w:sz w:val="24"/>
          <w:szCs w:val="24"/>
        </w:rPr>
      </w:pPr>
      <w:r>
        <w:rPr>
          <w:rFonts w:ascii="Times New Roman" w:hAnsi="Times New Roman"/>
          <w:b/>
          <w:bCs/>
          <w:iCs/>
          <w:sz w:val="24"/>
          <w:szCs w:val="24"/>
        </w:rPr>
        <w:t>Сключване</w:t>
      </w:r>
      <w:r w:rsidR="00C66643">
        <w:rPr>
          <w:rFonts w:ascii="Times New Roman" w:hAnsi="Times New Roman"/>
          <w:b/>
          <w:bCs/>
          <w:iCs/>
          <w:sz w:val="24"/>
          <w:szCs w:val="24"/>
        </w:rPr>
        <w:t xml:space="preserve"> на </w:t>
      </w:r>
      <w:r w:rsidR="00C66643" w:rsidRPr="00C66643">
        <w:rPr>
          <w:rFonts w:ascii="Times New Roman" w:hAnsi="Times New Roman"/>
          <w:b/>
          <w:bCs/>
          <w:iCs/>
          <w:sz w:val="24"/>
          <w:szCs w:val="24"/>
        </w:rPr>
        <w:t>допълнително споразумение</w:t>
      </w:r>
      <w:r w:rsidR="00C66643">
        <w:rPr>
          <w:rFonts w:ascii="Times New Roman" w:hAnsi="Times New Roman"/>
          <w:b/>
          <w:bCs/>
          <w:iCs/>
          <w:sz w:val="24"/>
          <w:szCs w:val="24"/>
        </w:rPr>
        <w:t xml:space="preserve"> към договорите с изпълнители по обществени поръчки за строителство:</w:t>
      </w:r>
    </w:p>
    <w:p w14:paraId="195E4752" w14:textId="621BD1E7" w:rsidR="007A3D75" w:rsidRDefault="00C21E61" w:rsidP="00413D6F">
      <w:pPr>
        <w:pStyle w:val="ListParagraph"/>
        <w:spacing w:before="120" w:after="120"/>
        <w:ind w:left="0" w:firstLine="851"/>
        <w:jc w:val="both"/>
        <w:rPr>
          <w:rFonts w:ascii="Times New Roman" w:hAnsi="Times New Roman"/>
          <w:bCs/>
          <w:iCs/>
          <w:sz w:val="24"/>
          <w:szCs w:val="24"/>
        </w:rPr>
      </w:pPr>
      <w:r>
        <w:rPr>
          <w:rFonts w:ascii="Times New Roman" w:hAnsi="Times New Roman"/>
          <w:bCs/>
          <w:iCs/>
          <w:sz w:val="24"/>
          <w:szCs w:val="24"/>
        </w:rPr>
        <w:t>При изменение на договор за изпълнение на обществена поръчка, бенефициентът следва да се съобрази с действащата нормативна уредба</w:t>
      </w:r>
      <w:r w:rsidR="002D5F4D">
        <w:rPr>
          <w:rFonts w:ascii="Times New Roman" w:hAnsi="Times New Roman"/>
          <w:bCs/>
          <w:iCs/>
          <w:sz w:val="24"/>
          <w:szCs w:val="24"/>
        </w:rPr>
        <w:t xml:space="preserve"> на</w:t>
      </w:r>
      <w:r>
        <w:rPr>
          <w:rFonts w:ascii="Times New Roman" w:hAnsi="Times New Roman"/>
          <w:bCs/>
          <w:iCs/>
          <w:sz w:val="24"/>
          <w:szCs w:val="24"/>
        </w:rPr>
        <w:t xml:space="preserve"> чл. 116, </w:t>
      </w:r>
      <w:r w:rsidR="002D5F4D">
        <w:rPr>
          <w:rFonts w:ascii="Times New Roman" w:hAnsi="Times New Roman"/>
          <w:bCs/>
          <w:iCs/>
          <w:sz w:val="24"/>
          <w:szCs w:val="24"/>
        </w:rPr>
        <w:t xml:space="preserve">ал. 1, т. 1, 2 и 3 при условията на </w:t>
      </w:r>
      <w:r>
        <w:rPr>
          <w:rFonts w:ascii="Times New Roman" w:hAnsi="Times New Roman"/>
          <w:bCs/>
          <w:iCs/>
          <w:sz w:val="24"/>
          <w:szCs w:val="24"/>
        </w:rPr>
        <w:t xml:space="preserve">чл. 117а от Закона за обществените поръчки и Методиката за изменение на цената на договор за обществена поръчка в резултат на инфлация. </w:t>
      </w:r>
      <w:r w:rsidR="007A3D75" w:rsidRPr="007A3D75">
        <w:rPr>
          <w:rFonts w:ascii="Times New Roman" w:hAnsi="Times New Roman"/>
          <w:bCs/>
          <w:iCs/>
          <w:sz w:val="24"/>
          <w:szCs w:val="24"/>
        </w:rPr>
        <w:t xml:space="preserve">Методиката по чл. 117а, ал. 1 се прилага и при изменение на договори за обществени поръчки или рамкови споразумения на основание чл. 116, ал. 1, т. 2 и 3, сключени преди влизането в сила на </w:t>
      </w:r>
      <w:r w:rsidR="007A3D75">
        <w:rPr>
          <w:rFonts w:ascii="Times New Roman" w:hAnsi="Times New Roman"/>
          <w:bCs/>
          <w:iCs/>
          <w:sz w:val="24"/>
          <w:szCs w:val="24"/>
        </w:rPr>
        <w:t>изменението на</w:t>
      </w:r>
      <w:r w:rsidR="007A3D75" w:rsidRPr="007A3D75">
        <w:rPr>
          <w:rFonts w:ascii="Times New Roman" w:hAnsi="Times New Roman"/>
          <w:bCs/>
          <w:iCs/>
          <w:sz w:val="24"/>
          <w:szCs w:val="24"/>
        </w:rPr>
        <w:t xml:space="preserve"> закон</w:t>
      </w:r>
      <w:r w:rsidR="007A3D75">
        <w:rPr>
          <w:rFonts w:ascii="Times New Roman" w:hAnsi="Times New Roman"/>
          <w:bCs/>
          <w:iCs/>
          <w:sz w:val="24"/>
          <w:szCs w:val="24"/>
        </w:rPr>
        <w:t xml:space="preserve">а </w:t>
      </w:r>
      <w:r w:rsidR="007A3D75" w:rsidRPr="007A3D75">
        <w:rPr>
          <w:rFonts w:ascii="Times New Roman" w:hAnsi="Times New Roman"/>
          <w:bCs/>
          <w:iCs/>
          <w:sz w:val="24"/>
          <w:szCs w:val="24"/>
        </w:rPr>
        <w:t>(ДВ, бр. 62 от 2022 г., в сила от 05.08.2022 г.).</w:t>
      </w:r>
      <w:r w:rsidR="007A3D75">
        <w:rPr>
          <w:rFonts w:ascii="Times New Roman" w:hAnsi="Times New Roman"/>
          <w:bCs/>
          <w:iCs/>
          <w:sz w:val="24"/>
          <w:szCs w:val="24"/>
        </w:rPr>
        <w:t xml:space="preserve"> </w:t>
      </w:r>
    </w:p>
    <w:p w14:paraId="2BE5683B" w14:textId="77777777" w:rsidR="00544C6D" w:rsidRDefault="00B55383" w:rsidP="00413D6F">
      <w:pPr>
        <w:pStyle w:val="ListParagraph"/>
        <w:spacing w:before="120" w:after="120"/>
        <w:ind w:left="0" w:firstLine="851"/>
        <w:jc w:val="both"/>
        <w:rPr>
          <w:rFonts w:ascii="Times New Roman" w:hAnsi="Times New Roman"/>
          <w:bCs/>
          <w:iCs/>
          <w:sz w:val="24"/>
          <w:szCs w:val="24"/>
        </w:rPr>
      </w:pPr>
      <w:r>
        <w:rPr>
          <w:rFonts w:ascii="Times New Roman" w:hAnsi="Times New Roman"/>
          <w:bCs/>
          <w:iCs/>
          <w:sz w:val="24"/>
          <w:szCs w:val="24"/>
        </w:rPr>
        <w:t>Искане за и</w:t>
      </w:r>
      <w:r w:rsidR="000C6B83">
        <w:rPr>
          <w:rFonts w:ascii="Times New Roman" w:hAnsi="Times New Roman"/>
          <w:bCs/>
          <w:iCs/>
          <w:sz w:val="24"/>
          <w:szCs w:val="24"/>
        </w:rPr>
        <w:t xml:space="preserve">зменение на договор </w:t>
      </w:r>
      <w:r w:rsidR="000C6B83" w:rsidRPr="000C6B83">
        <w:rPr>
          <w:rFonts w:ascii="Times New Roman" w:hAnsi="Times New Roman"/>
          <w:bCs/>
          <w:iCs/>
          <w:sz w:val="24"/>
          <w:szCs w:val="24"/>
        </w:rPr>
        <w:t>за изпълнение на обществена поръчка</w:t>
      </w:r>
      <w:r w:rsidR="000C6B83">
        <w:rPr>
          <w:rFonts w:ascii="Times New Roman" w:hAnsi="Times New Roman"/>
          <w:bCs/>
          <w:iCs/>
          <w:sz w:val="24"/>
          <w:szCs w:val="24"/>
        </w:rPr>
        <w:t xml:space="preserve"> по 117а във </w:t>
      </w:r>
      <w:proofErr w:type="spellStart"/>
      <w:r w:rsidR="000C6B83">
        <w:rPr>
          <w:rFonts w:ascii="Times New Roman" w:hAnsi="Times New Roman"/>
          <w:bCs/>
          <w:iCs/>
          <w:sz w:val="24"/>
          <w:szCs w:val="24"/>
        </w:rPr>
        <w:t>вр</w:t>
      </w:r>
      <w:proofErr w:type="spellEnd"/>
      <w:r w:rsidR="000C6B83">
        <w:rPr>
          <w:rFonts w:ascii="Times New Roman" w:hAnsi="Times New Roman"/>
          <w:bCs/>
          <w:iCs/>
          <w:sz w:val="24"/>
          <w:szCs w:val="24"/>
        </w:rPr>
        <w:t xml:space="preserve">. с чл. 116, ал. 1, т. </w:t>
      </w:r>
      <w:r w:rsidR="00707E16">
        <w:rPr>
          <w:rFonts w:ascii="Times New Roman" w:hAnsi="Times New Roman"/>
          <w:bCs/>
          <w:iCs/>
          <w:sz w:val="24"/>
          <w:szCs w:val="24"/>
        </w:rPr>
        <w:t xml:space="preserve">2 и </w:t>
      </w:r>
      <w:r w:rsidR="000C6B83">
        <w:rPr>
          <w:rFonts w:ascii="Times New Roman" w:hAnsi="Times New Roman"/>
          <w:bCs/>
          <w:iCs/>
          <w:sz w:val="24"/>
          <w:szCs w:val="24"/>
        </w:rPr>
        <w:t>3</w:t>
      </w:r>
      <w:r w:rsidR="00707E16">
        <w:rPr>
          <w:rFonts w:ascii="Times New Roman" w:hAnsi="Times New Roman"/>
          <w:bCs/>
          <w:iCs/>
          <w:sz w:val="24"/>
          <w:szCs w:val="24"/>
        </w:rPr>
        <w:t xml:space="preserve"> </w:t>
      </w:r>
      <w:r w:rsidR="00707E16" w:rsidRPr="00707E16">
        <w:rPr>
          <w:rFonts w:ascii="Times New Roman" w:hAnsi="Times New Roman"/>
          <w:bCs/>
          <w:iCs/>
          <w:sz w:val="24"/>
          <w:szCs w:val="24"/>
        </w:rPr>
        <w:t>от Закона за обществените поръчки</w:t>
      </w:r>
      <w:r w:rsidR="00707E16">
        <w:rPr>
          <w:rFonts w:ascii="Times New Roman" w:hAnsi="Times New Roman"/>
          <w:bCs/>
          <w:iCs/>
          <w:sz w:val="24"/>
          <w:szCs w:val="24"/>
        </w:rPr>
        <w:t xml:space="preserve"> се инициира от изпълнителя</w:t>
      </w:r>
      <w:r w:rsidR="0010696F">
        <w:rPr>
          <w:rFonts w:ascii="Times New Roman" w:hAnsi="Times New Roman"/>
          <w:bCs/>
          <w:iCs/>
          <w:sz w:val="24"/>
          <w:szCs w:val="24"/>
        </w:rPr>
        <w:t xml:space="preserve"> до възложителя</w:t>
      </w:r>
      <w:r w:rsidR="00A63B55">
        <w:rPr>
          <w:rFonts w:ascii="Times New Roman" w:hAnsi="Times New Roman"/>
          <w:bCs/>
          <w:iCs/>
          <w:sz w:val="24"/>
          <w:szCs w:val="24"/>
        </w:rPr>
        <w:t>, като същото следва да е мотивирано и придружено от съответните доказателства</w:t>
      </w:r>
      <w:r w:rsidR="0010696F">
        <w:rPr>
          <w:rFonts w:ascii="Times New Roman" w:hAnsi="Times New Roman"/>
          <w:bCs/>
          <w:iCs/>
          <w:sz w:val="24"/>
          <w:szCs w:val="24"/>
        </w:rPr>
        <w:t xml:space="preserve">, обуславящи: </w:t>
      </w:r>
    </w:p>
    <w:p w14:paraId="47FA7549" w14:textId="77777777" w:rsidR="00544C6D" w:rsidRPr="00524460" w:rsidRDefault="0010696F" w:rsidP="00524460">
      <w:pPr>
        <w:pStyle w:val="ListParagraph"/>
        <w:numPr>
          <w:ilvl w:val="0"/>
          <w:numId w:val="6"/>
        </w:numPr>
        <w:spacing w:before="120" w:after="120"/>
        <w:jc w:val="both"/>
        <w:rPr>
          <w:rFonts w:ascii="Times New Roman" w:hAnsi="Times New Roman"/>
          <w:bCs/>
          <w:iCs/>
          <w:sz w:val="24"/>
          <w:szCs w:val="24"/>
        </w:rPr>
      </w:pPr>
      <w:r>
        <w:rPr>
          <w:rFonts w:ascii="Times New Roman" w:hAnsi="Times New Roman"/>
          <w:bCs/>
          <w:iCs/>
          <w:sz w:val="24"/>
          <w:szCs w:val="24"/>
        </w:rPr>
        <w:t>необходимостта от индексация на цената на действащия договор</w:t>
      </w:r>
      <w:r>
        <w:rPr>
          <w:rFonts w:ascii="Times New Roman" w:hAnsi="Times New Roman"/>
          <w:bCs/>
          <w:iCs/>
          <w:sz w:val="24"/>
          <w:szCs w:val="24"/>
          <w:lang w:val="en-US"/>
        </w:rPr>
        <w:t>;</w:t>
      </w:r>
    </w:p>
    <w:p w14:paraId="10720603" w14:textId="77777777" w:rsidR="00544C6D" w:rsidRPr="00524460" w:rsidRDefault="0010696F" w:rsidP="00524460">
      <w:pPr>
        <w:pStyle w:val="ListParagraph"/>
        <w:numPr>
          <w:ilvl w:val="0"/>
          <w:numId w:val="6"/>
        </w:numPr>
        <w:spacing w:before="120" w:after="120"/>
        <w:jc w:val="both"/>
        <w:rPr>
          <w:rFonts w:ascii="Times New Roman" w:hAnsi="Times New Roman"/>
          <w:bCs/>
          <w:iCs/>
          <w:sz w:val="24"/>
          <w:szCs w:val="24"/>
        </w:rPr>
      </w:pPr>
      <w:r>
        <w:rPr>
          <w:rFonts w:ascii="Times New Roman" w:hAnsi="Times New Roman"/>
          <w:bCs/>
          <w:iCs/>
          <w:sz w:val="24"/>
          <w:szCs w:val="24"/>
        </w:rPr>
        <w:t>размерът на исканото увеличение</w:t>
      </w:r>
      <w:r>
        <w:rPr>
          <w:rFonts w:ascii="Times New Roman" w:hAnsi="Times New Roman"/>
          <w:bCs/>
          <w:iCs/>
          <w:sz w:val="24"/>
          <w:szCs w:val="24"/>
          <w:lang w:val="en-US"/>
        </w:rPr>
        <w:t xml:space="preserve">; </w:t>
      </w:r>
    </w:p>
    <w:p w14:paraId="73F536AF" w14:textId="77777777" w:rsidR="00544C6D" w:rsidRDefault="0010696F" w:rsidP="00524460">
      <w:pPr>
        <w:pStyle w:val="ListParagraph"/>
        <w:numPr>
          <w:ilvl w:val="0"/>
          <w:numId w:val="6"/>
        </w:numPr>
        <w:spacing w:before="120" w:after="120"/>
        <w:jc w:val="both"/>
        <w:rPr>
          <w:rFonts w:ascii="Times New Roman" w:hAnsi="Times New Roman"/>
          <w:bCs/>
          <w:iCs/>
          <w:sz w:val="24"/>
          <w:szCs w:val="24"/>
        </w:rPr>
      </w:pPr>
      <w:r>
        <w:rPr>
          <w:rFonts w:ascii="Times New Roman" w:hAnsi="Times New Roman"/>
          <w:bCs/>
          <w:iCs/>
          <w:sz w:val="24"/>
          <w:szCs w:val="24"/>
        </w:rPr>
        <w:t>основните стоки и материали, които са съществено засегнати от инфлационните процеси и формират стойността на исканото увеличение на цената на договора за строителство</w:t>
      </w:r>
      <w:r w:rsidR="009F71A0">
        <w:rPr>
          <w:rFonts w:ascii="Times New Roman" w:hAnsi="Times New Roman"/>
          <w:bCs/>
          <w:iCs/>
          <w:sz w:val="24"/>
          <w:szCs w:val="24"/>
        </w:rPr>
        <w:t>;</w:t>
      </w:r>
    </w:p>
    <w:p w14:paraId="605071CC" w14:textId="224C9D14" w:rsidR="000C6B83" w:rsidRPr="0010696F" w:rsidRDefault="009F71A0" w:rsidP="00524460">
      <w:pPr>
        <w:pStyle w:val="ListParagraph"/>
        <w:numPr>
          <w:ilvl w:val="0"/>
          <w:numId w:val="6"/>
        </w:numPr>
        <w:spacing w:before="120" w:after="120"/>
        <w:jc w:val="both"/>
        <w:rPr>
          <w:rFonts w:ascii="Times New Roman" w:hAnsi="Times New Roman"/>
          <w:bCs/>
          <w:iCs/>
          <w:sz w:val="24"/>
          <w:szCs w:val="24"/>
        </w:rPr>
      </w:pPr>
      <w:r>
        <w:rPr>
          <w:rFonts w:ascii="Times New Roman" w:hAnsi="Times New Roman"/>
          <w:bCs/>
          <w:iCs/>
          <w:sz w:val="24"/>
          <w:szCs w:val="24"/>
        </w:rPr>
        <w:t xml:space="preserve"> периодът</w:t>
      </w:r>
      <w:r w:rsidR="004828AE">
        <w:rPr>
          <w:rFonts w:ascii="Times New Roman" w:hAnsi="Times New Roman"/>
          <w:bCs/>
          <w:iCs/>
          <w:sz w:val="24"/>
          <w:szCs w:val="24"/>
        </w:rPr>
        <w:t xml:space="preserve"> на изпълнение на договора, засегнат от инфлационните процеси</w:t>
      </w:r>
      <w:r>
        <w:rPr>
          <w:rFonts w:ascii="Times New Roman" w:hAnsi="Times New Roman"/>
          <w:bCs/>
          <w:iCs/>
          <w:sz w:val="24"/>
          <w:szCs w:val="24"/>
        </w:rPr>
        <w:t>.</w:t>
      </w:r>
    </w:p>
    <w:p w14:paraId="532EBF12" w14:textId="2FD25F47" w:rsidR="0028573B" w:rsidRDefault="0028573B" w:rsidP="00524460">
      <w:pPr>
        <w:tabs>
          <w:tab w:val="left" w:pos="851"/>
        </w:tabs>
        <w:spacing w:before="120" w:after="120" w:line="259" w:lineRule="auto"/>
        <w:ind w:firstLine="708"/>
        <w:jc w:val="both"/>
        <w:rPr>
          <w:rFonts w:ascii="Times New Roman" w:hAnsi="Times New Roman"/>
          <w:bCs/>
          <w:iCs/>
          <w:sz w:val="24"/>
          <w:szCs w:val="24"/>
        </w:rPr>
      </w:pPr>
      <w:r w:rsidRPr="00524460">
        <w:rPr>
          <w:rFonts w:ascii="Times New Roman" w:hAnsi="Times New Roman"/>
          <w:bCs/>
          <w:iCs/>
          <w:sz w:val="24"/>
          <w:szCs w:val="24"/>
        </w:rPr>
        <w:t xml:space="preserve">При индексация следва да се имат предвид и методическите указания на Агенция по обществени поръчки, изх. номер: МУ – 1, от 01.04.2022 г., относно: „Възможности за </w:t>
      </w:r>
      <w:r w:rsidRPr="00524460">
        <w:rPr>
          <w:rFonts w:ascii="Times New Roman" w:hAnsi="Times New Roman"/>
          <w:bCs/>
          <w:iCs/>
          <w:sz w:val="24"/>
          <w:szCs w:val="24"/>
        </w:rPr>
        <w:lastRenderedPageBreak/>
        <w:t>индексиране на договори по време на изпълнението им в условия на инфлация“</w:t>
      </w:r>
      <w:r>
        <w:rPr>
          <w:rFonts w:ascii="Times New Roman" w:hAnsi="Times New Roman"/>
          <w:bCs/>
          <w:iCs/>
          <w:sz w:val="24"/>
          <w:szCs w:val="24"/>
        </w:rPr>
        <w:t xml:space="preserve"> (</w:t>
      </w:r>
      <w:hyperlink r:id="rId8" w:history="1">
        <w:r w:rsidRPr="0028573B">
          <w:rPr>
            <w:rStyle w:val="Hyperlink"/>
            <w:rFonts w:ascii="Times New Roman" w:hAnsi="Times New Roman"/>
            <w:bCs/>
            <w:iCs/>
            <w:sz w:val="24"/>
            <w:szCs w:val="24"/>
          </w:rPr>
          <w:t>https://www2.aop.bg/wp-content/uploads/2022/04/MU_1.pdf</w:t>
        </w:r>
      </w:hyperlink>
      <w:r>
        <w:rPr>
          <w:rFonts w:ascii="Times New Roman" w:hAnsi="Times New Roman"/>
          <w:bCs/>
          <w:iCs/>
          <w:sz w:val="24"/>
          <w:szCs w:val="24"/>
        </w:rPr>
        <w:t>)</w:t>
      </w:r>
      <w:r w:rsidRPr="00524460">
        <w:rPr>
          <w:rFonts w:ascii="Times New Roman" w:hAnsi="Times New Roman"/>
          <w:bCs/>
          <w:iCs/>
          <w:sz w:val="24"/>
          <w:szCs w:val="24"/>
        </w:rPr>
        <w:t>.</w:t>
      </w:r>
    </w:p>
    <w:p w14:paraId="5EE28EB9" w14:textId="77777777" w:rsidR="00C66643" w:rsidRPr="00C66643" w:rsidRDefault="00C66643" w:rsidP="00C66643">
      <w:pPr>
        <w:pStyle w:val="ListParagraph"/>
        <w:spacing w:before="120" w:after="120"/>
        <w:ind w:left="1068"/>
        <w:jc w:val="both"/>
        <w:rPr>
          <w:rFonts w:ascii="Times New Roman" w:hAnsi="Times New Roman"/>
          <w:b/>
          <w:iCs/>
          <w:sz w:val="24"/>
          <w:szCs w:val="24"/>
        </w:rPr>
      </w:pPr>
    </w:p>
    <w:p w14:paraId="348A290C" w14:textId="11F405A1" w:rsidR="00C66643" w:rsidRPr="00C66643" w:rsidRDefault="00524460" w:rsidP="00524460">
      <w:pPr>
        <w:pStyle w:val="ListParagraph"/>
        <w:numPr>
          <w:ilvl w:val="0"/>
          <w:numId w:val="8"/>
        </w:numPr>
        <w:spacing w:before="120" w:after="120"/>
        <w:jc w:val="both"/>
        <w:rPr>
          <w:rFonts w:ascii="Times New Roman" w:hAnsi="Times New Roman"/>
          <w:b/>
          <w:iCs/>
          <w:sz w:val="24"/>
          <w:szCs w:val="24"/>
        </w:rPr>
      </w:pPr>
      <w:r>
        <w:rPr>
          <w:rFonts w:ascii="Times New Roman" w:hAnsi="Times New Roman"/>
          <w:b/>
          <w:bCs/>
          <w:iCs/>
          <w:sz w:val="24"/>
          <w:szCs w:val="24"/>
        </w:rPr>
        <w:t>О</w:t>
      </w:r>
      <w:r w:rsidR="00C66643">
        <w:rPr>
          <w:rFonts w:ascii="Times New Roman" w:hAnsi="Times New Roman"/>
          <w:b/>
          <w:bCs/>
          <w:iCs/>
          <w:sz w:val="24"/>
          <w:szCs w:val="24"/>
        </w:rPr>
        <w:t>тчитане на разходи при индексация на договори за строителство, които подлежат на възстановяване като БФП:</w:t>
      </w:r>
    </w:p>
    <w:p w14:paraId="7290A34B" w14:textId="77777777" w:rsidR="00B64D42" w:rsidRDefault="002D3D01" w:rsidP="002D3D01">
      <w:pPr>
        <w:spacing w:after="0"/>
        <w:ind w:firstLine="708"/>
        <w:jc w:val="both"/>
        <w:rPr>
          <w:rFonts w:ascii="Times New Roman" w:hAnsi="Times New Roman"/>
          <w:iCs/>
          <w:sz w:val="24"/>
          <w:szCs w:val="24"/>
        </w:rPr>
      </w:pPr>
      <w:r>
        <w:rPr>
          <w:rFonts w:ascii="Times New Roman" w:hAnsi="Times New Roman"/>
          <w:iCs/>
          <w:sz w:val="24"/>
          <w:szCs w:val="24"/>
        </w:rPr>
        <w:t>При</w:t>
      </w:r>
      <w:r w:rsidR="00C66643">
        <w:rPr>
          <w:rFonts w:ascii="Times New Roman" w:hAnsi="Times New Roman"/>
          <w:iCs/>
          <w:sz w:val="24"/>
          <w:szCs w:val="24"/>
        </w:rPr>
        <w:t xml:space="preserve"> сключване на допълнително споразумение към АДБФП </w:t>
      </w:r>
      <w:r>
        <w:rPr>
          <w:rFonts w:ascii="Times New Roman" w:hAnsi="Times New Roman"/>
          <w:iCs/>
          <w:sz w:val="24"/>
          <w:szCs w:val="24"/>
        </w:rPr>
        <w:t xml:space="preserve">за увеличаване размера на средствата </w:t>
      </w:r>
      <w:r w:rsidR="00C66643">
        <w:rPr>
          <w:rFonts w:ascii="Times New Roman" w:hAnsi="Times New Roman"/>
          <w:iCs/>
          <w:sz w:val="24"/>
          <w:szCs w:val="24"/>
        </w:rPr>
        <w:t xml:space="preserve">и такова към договора с </w:t>
      </w:r>
      <w:r>
        <w:rPr>
          <w:rFonts w:ascii="Times New Roman" w:hAnsi="Times New Roman"/>
          <w:iCs/>
          <w:sz w:val="24"/>
          <w:szCs w:val="24"/>
        </w:rPr>
        <w:t>изпълнител за изменение на цената в резултат на инфлация, бенефициентите следва да съблюдават следните правила за отчитане на тези разходи:</w:t>
      </w:r>
    </w:p>
    <w:p w14:paraId="31D568D6" w14:textId="5ACA2BD5" w:rsidR="0009185F" w:rsidRPr="00814977" w:rsidRDefault="00814977" w:rsidP="00814977">
      <w:pPr>
        <w:pStyle w:val="ListParagraph"/>
        <w:numPr>
          <w:ilvl w:val="0"/>
          <w:numId w:val="2"/>
        </w:numPr>
        <w:tabs>
          <w:tab w:val="left" w:pos="1134"/>
        </w:tabs>
        <w:spacing w:after="0"/>
        <w:ind w:left="0" w:firstLine="709"/>
        <w:jc w:val="both"/>
        <w:rPr>
          <w:rFonts w:ascii="Times New Roman" w:hAnsi="Times New Roman"/>
          <w:iCs/>
          <w:sz w:val="24"/>
          <w:szCs w:val="24"/>
        </w:rPr>
      </w:pPr>
      <w:r w:rsidRPr="00814977">
        <w:rPr>
          <w:rFonts w:ascii="Times New Roman" w:hAnsi="Times New Roman"/>
          <w:iCs/>
          <w:sz w:val="24"/>
          <w:szCs w:val="24"/>
        </w:rPr>
        <w:t xml:space="preserve">На изменение подлежат </w:t>
      </w:r>
      <w:r w:rsidR="002A1C34">
        <w:rPr>
          <w:rFonts w:ascii="Times New Roman" w:hAnsi="Times New Roman"/>
          <w:iCs/>
          <w:sz w:val="24"/>
          <w:szCs w:val="24"/>
        </w:rPr>
        <w:t>стойностите</w:t>
      </w:r>
      <w:r w:rsidR="002A1C34" w:rsidRPr="00814977">
        <w:rPr>
          <w:rFonts w:ascii="Times New Roman" w:hAnsi="Times New Roman"/>
          <w:iCs/>
          <w:sz w:val="24"/>
          <w:szCs w:val="24"/>
        </w:rPr>
        <w:t xml:space="preserve"> </w:t>
      </w:r>
      <w:r w:rsidR="002A1C34">
        <w:rPr>
          <w:rFonts w:ascii="Times New Roman" w:hAnsi="Times New Roman"/>
          <w:iCs/>
          <w:sz w:val="24"/>
          <w:szCs w:val="24"/>
        </w:rPr>
        <w:t>на</w:t>
      </w:r>
      <w:r w:rsidR="002A1C34" w:rsidRPr="00814977">
        <w:rPr>
          <w:rFonts w:ascii="Times New Roman" w:hAnsi="Times New Roman"/>
          <w:iCs/>
          <w:sz w:val="24"/>
          <w:szCs w:val="24"/>
        </w:rPr>
        <w:t xml:space="preserve"> </w:t>
      </w:r>
      <w:r w:rsidRPr="00814977">
        <w:rPr>
          <w:rFonts w:ascii="Times New Roman" w:hAnsi="Times New Roman"/>
          <w:iCs/>
          <w:sz w:val="24"/>
          <w:szCs w:val="24"/>
        </w:rPr>
        <w:t>извършени дейности, приети след 30.06.2021 г. по договори за обществени поръчки и рамко</w:t>
      </w:r>
      <w:r>
        <w:rPr>
          <w:rFonts w:ascii="Times New Roman" w:hAnsi="Times New Roman"/>
          <w:iCs/>
          <w:sz w:val="24"/>
          <w:szCs w:val="24"/>
        </w:rPr>
        <w:t>ви споразумения за строителство</w:t>
      </w:r>
      <w:r w:rsidR="00524460">
        <w:rPr>
          <w:rFonts w:ascii="Times New Roman" w:hAnsi="Times New Roman"/>
          <w:iCs/>
          <w:sz w:val="24"/>
          <w:szCs w:val="24"/>
        </w:rPr>
        <w:t xml:space="preserve"> или при договори за инженеринг на частта СМР</w:t>
      </w:r>
      <w:r w:rsidRPr="003A5D33">
        <w:rPr>
          <w:rFonts w:ascii="Times New Roman" w:hAnsi="Times New Roman"/>
          <w:iCs/>
          <w:sz w:val="24"/>
          <w:szCs w:val="24"/>
        </w:rPr>
        <w:t>.</w:t>
      </w:r>
      <w:r>
        <w:rPr>
          <w:rFonts w:ascii="Times New Roman" w:hAnsi="Times New Roman"/>
          <w:iCs/>
          <w:sz w:val="24"/>
          <w:szCs w:val="24"/>
        </w:rPr>
        <w:t xml:space="preserve"> </w:t>
      </w:r>
      <w:r w:rsidR="0009185F" w:rsidRPr="00814977">
        <w:rPr>
          <w:rFonts w:ascii="Times New Roman" w:hAnsi="Times New Roman"/>
          <w:iCs/>
          <w:sz w:val="24"/>
          <w:szCs w:val="24"/>
        </w:rPr>
        <w:t xml:space="preserve">По разходи за приети дейности, които са вече подадени в искания за </w:t>
      </w:r>
      <w:r w:rsidR="00180A2C">
        <w:rPr>
          <w:rFonts w:ascii="Times New Roman" w:hAnsi="Times New Roman"/>
          <w:iCs/>
          <w:sz w:val="24"/>
          <w:szCs w:val="24"/>
        </w:rPr>
        <w:t xml:space="preserve">окончателно </w:t>
      </w:r>
      <w:r w:rsidR="0009185F" w:rsidRPr="00814977">
        <w:rPr>
          <w:rFonts w:ascii="Times New Roman" w:hAnsi="Times New Roman"/>
          <w:iCs/>
          <w:sz w:val="24"/>
          <w:szCs w:val="24"/>
        </w:rPr>
        <w:t>плащане към УО на ОПРР, не могат да бъдат искани допълнителни средства за верификация</w:t>
      </w:r>
      <w:r w:rsidR="004C0BDD" w:rsidRPr="00814977">
        <w:rPr>
          <w:rFonts w:ascii="Times New Roman" w:hAnsi="Times New Roman"/>
          <w:iCs/>
          <w:sz w:val="24"/>
          <w:szCs w:val="24"/>
        </w:rPr>
        <w:t xml:space="preserve"> на</w:t>
      </w:r>
      <w:r w:rsidR="0009185F" w:rsidRPr="00814977">
        <w:rPr>
          <w:rFonts w:ascii="Times New Roman" w:hAnsi="Times New Roman"/>
          <w:iCs/>
          <w:sz w:val="24"/>
          <w:szCs w:val="24"/>
        </w:rPr>
        <w:t xml:space="preserve"> основа</w:t>
      </w:r>
      <w:r w:rsidR="004C0BDD" w:rsidRPr="00814977">
        <w:rPr>
          <w:rFonts w:ascii="Times New Roman" w:hAnsi="Times New Roman"/>
          <w:iCs/>
          <w:sz w:val="24"/>
          <w:szCs w:val="24"/>
        </w:rPr>
        <w:t>ние</w:t>
      </w:r>
      <w:r w:rsidR="0009185F" w:rsidRPr="00814977">
        <w:rPr>
          <w:rFonts w:ascii="Times New Roman" w:hAnsi="Times New Roman"/>
          <w:iCs/>
          <w:sz w:val="24"/>
          <w:szCs w:val="24"/>
        </w:rPr>
        <w:t xml:space="preserve"> индексация по Методиката.</w:t>
      </w:r>
    </w:p>
    <w:p w14:paraId="6323A57E" w14:textId="67D4EE73" w:rsidR="0009185F" w:rsidRPr="002D7217" w:rsidRDefault="000F2129" w:rsidP="0009185F">
      <w:pPr>
        <w:pStyle w:val="ListParagraph"/>
        <w:numPr>
          <w:ilvl w:val="0"/>
          <w:numId w:val="2"/>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Максималният размер на р</w:t>
      </w:r>
      <w:r w:rsidR="0009185F">
        <w:rPr>
          <w:rFonts w:ascii="Times New Roman" w:hAnsi="Times New Roman"/>
          <w:iCs/>
          <w:sz w:val="24"/>
          <w:szCs w:val="24"/>
        </w:rPr>
        <w:t>азходите</w:t>
      </w:r>
      <w:r>
        <w:rPr>
          <w:rFonts w:ascii="Times New Roman" w:hAnsi="Times New Roman"/>
          <w:iCs/>
          <w:sz w:val="24"/>
          <w:szCs w:val="24"/>
        </w:rPr>
        <w:t>, с който може да се</w:t>
      </w:r>
      <w:r w:rsidR="0009185F">
        <w:rPr>
          <w:rFonts w:ascii="Times New Roman" w:hAnsi="Times New Roman"/>
          <w:iCs/>
          <w:sz w:val="24"/>
          <w:szCs w:val="24"/>
        </w:rPr>
        <w:t xml:space="preserve"> увели</w:t>
      </w:r>
      <w:r w:rsidR="00A6261E">
        <w:rPr>
          <w:rFonts w:ascii="Times New Roman" w:hAnsi="Times New Roman"/>
          <w:iCs/>
          <w:sz w:val="24"/>
          <w:szCs w:val="24"/>
        </w:rPr>
        <w:t>чи</w:t>
      </w:r>
      <w:r w:rsidR="0009185F">
        <w:rPr>
          <w:rFonts w:ascii="Times New Roman" w:hAnsi="Times New Roman"/>
          <w:iCs/>
          <w:sz w:val="24"/>
          <w:szCs w:val="24"/>
        </w:rPr>
        <w:t xml:space="preserve"> стойността на </w:t>
      </w:r>
      <w:r w:rsidR="00524460">
        <w:rPr>
          <w:rFonts w:ascii="Times New Roman" w:hAnsi="Times New Roman"/>
          <w:iCs/>
          <w:sz w:val="24"/>
          <w:szCs w:val="24"/>
        </w:rPr>
        <w:t>СМР</w:t>
      </w:r>
      <w:r w:rsidR="0009185F">
        <w:rPr>
          <w:rFonts w:ascii="Times New Roman" w:hAnsi="Times New Roman"/>
          <w:iCs/>
          <w:sz w:val="24"/>
          <w:szCs w:val="24"/>
        </w:rPr>
        <w:t xml:space="preserve"> следва да </w:t>
      </w:r>
      <w:r>
        <w:rPr>
          <w:rFonts w:ascii="Times New Roman" w:hAnsi="Times New Roman"/>
          <w:iCs/>
          <w:sz w:val="24"/>
          <w:szCs w:val="24"/>
        </w:rPr>
        <w:t xml:space="preserve">бъде </w:t>
      </w:r>
      <w:r w:rsidR="0009185F">
        <w:rPr>
          <w:rFonts w:ascii="Times New Roman" w:hAnsi="Times New Roman"/>
          <w:iCs/>
          <w:sz w:val="24"/>
          <w:szCs w:val="24"/>
        </w:rPr>
        <w:t>изчислен въз основа на формулата за ин</w:t>
      </w:r>
      <w:r w:rsidR="0009185F" w:rsidRPr="0009185F">
        <w:rPr>
          <w:rFonts w:ascii="Times New Roman" w:hAnsi="Times New Roman"/>
          <w:iCs/>
          <w:sz w:val="24"/>
          <w:szCs w:val="24"/>
        </w:rPr>
        <w:t>декс</w:t>
      </w:r>
      <w:r w:rsidR="0009185F">
        <w:rPr>
          <w:rFonts w:ascii="Times New Roman" w:hAnsi="Times New Roman"/>
          <w:iCs/>
          <w:sz w:val="24"/>
          <w:szCs w:val="24"/>
        </w:rPr>
        <w:t>ация</w:t>
      </w:r>
      <w:r w:rsidR="0009185F" w:rsidRPr="0009185F">
        <w:rPr>
          <w:rFonts w:ascii="Times New Roman" w:hAnsi="Times New Roman"/>
          <w:iCs/>
          <w:sz w:val="24"/>
          <w:szCs w:val="24"/>
        </w:rPr>
        <w:t xml:space="preserve"> </w:t>
      </w:r>
      <w:r w:rsidR="0009185F">
        <w:rPr>
          <w:rFonts w:ascii="Times New Roman" w:hAnsi="Times New Roman"/>
          <w:iCs/>
          <w:sz w:val="24"/>
          <w:szCs w:val="24"/>
        </w:rPr>
        <w:t>в</w:t>
      </w:r>
      <w:r w:rsidR="0009185F" w:rsidRPr="0009185F">
        <w:rPr>
          <w:rFonts w:ascii="Times New Roman" w:hAnsi="Times New Roman"/>
          <w:iCs/>
          <w:sz w:val="24"/>
          <w:szCs w:val="24"/>
        </w:rPr>
        <w:t xml:space="preserve"> Методиката</w:t>
      </w:r>
      <w:r w:rsidR="0009185F">
        <w:rPr>
          <w:rFonts w:ascii="Times New Roman" w:hAnsi="Times New Roman"/>
          <w:iCs/>
          <w:sz w:val="24"/>
          <w:szCs w:val="24"/>
        </w:rPr>
        <w:t xml:space="preserve">, като същите могат да бъдат поискани за възстановяване като БФП до размера на </w:t>
      </w:r>
      <w:r w:rsidR="00BF0C73">
        <w:rPr>
          <w:rFonts w:ascii="Times New Roman" w:hAnsi="Times New Roman"/>
          <w:iCs/>
          <w:sz w:val="24"/>
          <w:szCs w:val="24"/>
        </w:rPr>
        <w:t xml:space="preserve">заложените </w:t>
      </w:r>
      <w:r w:rsidR="0009185F">
        <w:rPr>
          <w:rFonts w:ascii="Times New Roman" w:hAnsi="Times New Roman"/>
          <w:iCs/>
          <w:sz w:val="24"/>
          <w:szCs w:val="24"/>
        </w:rPr>
        <w:t>допълнителни</w:t>
      </w:r>
      <w:r w:rsidR="00BF0C73">
        <w:rPr>
          <w:rFonts w:ascii="Times New Roman" w:hAnsi="Times New Roman"/>
          <w:iCs/>
          <w:sz w:val="24"/>
          <w:szCs w:val="24"/>
        </w:rPr>
        <w:t xml:space="preserve"> средства съгласно сключения анекс към АДБФП. При решение на бенефициента за увеличаване стойността на договора с изпълнител при спазване на методиката, което надвишава размера на заложените допълнителни средства като БФП, същото следва да бъде обезпечено със собствени средства.</w:t>
      </w:r>
      <w:r w:rsidR="004C0BDD">
        <w:rPr>
          <w:rFonts w:ascii="Times New Roman" w:hAnsi="Times New Roman"/>
          <w:iCs/>
          <w:sz w:val="24"/>
          <w:szCs w:val="24"/>
        </w:rPr>
        <w:t xml:space="preserve"> </w:t>
      </w:r>
      <w:r w:rsidR="004C0BDD" w:rsidRPr="002D7217">
        <w:rPr>
          <w:rFonts w:ascii="Times New Roman" w:hAnsi="Times New Roman"/>
          <w:iCs/>
          <w:sz w:val="24"/>
          <w:szCs w:val="24"/>
        </w:rPr>
        <w:t xml:space="preserve">По договори, финансирани с различни източници (БФП/собствени средства/финансов инструмент), при увеличение стойността на СМР следва да бъде прилаган един и същи принцип </w:t>
      </w:r>
      <w:r w:rsidR="00814977" w:rsidRPr="002D7217">
        <w:rPr>
          <w:rFonts w:ascii="Times New Roman" w:hAnsi="Times New Roman"/>
          <w:iCs/>
          <w:sz w:val="24"/>
          <w:szCs w:val="24"/>
        </w:rPr>
        <w:t xml:space="preserve">за всеки един от източниците, както </w:t>
      </w:r>
      <w:r w:rsidR="004C0BDD" w:rsidRPr="002D7217">
        <w:rPr>
          <w:rFonts w:ascii="Times New Roman" w:hAnsi="Times New Roman"/>
          <w:iCs/>
          <w:sz w:val="24"/>
          <w:szCs w:val="24"/>
        </w:rPr>
        <w:t xml:space="preserve">и да се запазят процентните съотношения между </w:t>
      </w:r>
      <w:r w:rsidR="00814977" w:rsidRPr="002D7217">
        <w:rPr>
          <w:rFonts w:ascii="Times New Roman" w:hAnsi="Times New Roman"/>
          <w:iCs/>
          <w:sz w:val="24"/>
          <w:szCs w:val="24"/>
        </w:rPr>
        <w:t xml:space="preserve">отделните </w:t>
      </w:r>
      <w:r w:rsidR="004C0BDD" w:rsidRPr="002D7217">
        <w:rPr>
          <w:rFonts w:ascii="Times New Roman" w:hAnsi="Times New Roman"/>
          <w:iCs/>
          <w:sz w:val="24"/>
          <w:szCs w:val="24"/>
        </w:rPr>
        <w:t>източници на финансиране. За тази цел бенефициентите е необходимо да осигурят необходимите средства като собствен принос и ако е приложимо предварително да договорят увеличаване размера на кредита при проекти с комбинирана подкрепа.</w:t>
      </w:r>
    </w:p>
    <w:p w14:paraId="6990C51D" w14:textId="77777777" w:rsidR="006037A4" w:rsidRDefault="00C51F60" w:rsidP="0009185F">
      <w:pPr>
        <w:pStyle w:val="ListParagraph"/>
        <w:numPr>
          <w:ilvl w:val="0"/>
          <w:numId w:val="2"/>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При прилагане на формулата за определяне размера на изменението на цената </w:t>
      </w:r>
      <w:r w:rsidR="006037A4">
        <w:rPr>
          <w:rFonts w:ascii="Times New Roman" w:hAnsi="Times New Roman"/>
          <w:iCs/>
          <w:sz w:val="24"/>
          <w:szCs w:val="24"/>
        </w:rPr>
        <w:t>следва да се съблюдава следното:</w:t>
      </w:r>
    </w:p>
    <w:p w14:paraId="71E6CA6A" w14:textId="77777777" w:rsidR="00B3156F" w:rsidRDefault="00B3156F" w:rsidP="00B3156F">
      <w:pPr>
        <w:pStyle w:val="ListParagraph"/>
        <w:tabs>
          <w:tab w:val="left" w:pos="1134"/>
        </w:tabs>
        <w:spacing w:after="0"/>
        <w:ind w:left="709"/>
        <w:jc w:val="both"/>
        <w:rPr>
          <w:rFonts w:ascii="Times New Roman" w:hAnsi="Times New Roman"/>
          <w:iCs/>
          <w:sz w:val="24"/>
          <w:szCs w:val="24"/>
        </w:rPr>
      </w:pPr>
    </w:p>
    <w:p w14:paraId="3DF03F64" w14:textId="77777777" w:rsidR="006037A4" w:rsidRDefault="006037A4" w:rsidP="006037A4">
      <w:pPr>
        <w:pStyle w:val="ListParagraph"/>
        <w:tabs>
          <w:tab w:val="left" w:pos="1134"/>
        </w:tabs>
        <w:spacing w:after="0"/>
        <w:ind w:left="709"/>
        <w:jc w:val="center"/>
        <w:rPr>
          <w:rFonts w:ascii="Times New Roman" w:hAnsi="Times New Roman"/>
          <w:i/>
          <w:iCs/>
          <w:sz w:val="24"/>
          <w:szCs w:val="24"/>
        </w:rPr>
      </w:pPr>
      <w:proofErr w:type="spellStart"/>
      <w:r w:rsidRPr="006037A4">
        <w:rPr>
          <w:rFonts w:ascii="Times New Roman" w:hAnsi="Times New Roman"/>
          <w:i/>
          <w:iCs/>
          <w:sz w:val="24"/>
          <w:szCs w:val="24"/>
        </w:rPr>
        <w:t>Кn</w:t>
      </w:r>
      <w:proofErr w:type="spellEnd"/>
      <w:r w:rsidRPr="006037A4">
        <w:rPr>
          <w:rFonts w:ascii="Times New Roman" w:hAnsi="Times New Roman"/>
          <w:i/>
          <w:iCs/>
          <w:sz w:val="24"/>
          <w:szCs w:val="24"/>
        </w:rPr>
        <w:t xml:space="preserve"> = [(</w:t>
      </w:r>
      <w:proofErr w:type="spellStart"/>
      <w:r w:rsidRPr="006037A4">
        <w:rPr>
          <w:rFonts w:ascii="Times New Roman" w:hAnsi="Times New Roman"/>
          <w:i/>
          <w:iCs/>
          <w:sz w:val="24"/>
          <w:szCs w:val="24"/>
        </w:rPr>
        <w:t>In</w:t>
      </w:r>
      <w:proofErr w:type="spellEnd"/>
      <w:r w:rsidRPr="006037A4">
        <w:rPr>
          <w:rFonts w:ascii="Times New Roman" w:hAnsi="Times New Roman"/>
          <w:i/>
          <w:iCs/>
          <w:sz w:val="24"/>
          <w:szCs w:val="24"/>
        </w:rPr>
        <w:t xml:space="preserve"> - </w:t>
      </w:r>
      <w:proofErr w:type="spellStart"/>
      <w:r w:rsidRPr="006037A4">
        <w:rPr>
          <w:rFonts w:ascii="Times New Roman" w:hAnsi="Times New Roman"/>
          <w:i/>
          <w:iCs/>
          <w:sz w:val="24"/>
          <w:szCs w:val="24"/>
        </w:rPr>
        <w:t>Iо</w:t>
      </w:r>
      <w:proofErr w:type="spellEnd"/>
      <w:r w:rsidRPr="006037A4">
        <w:rPr>
          <w:rFonts w:ascii="Times New Roman" w:hAnsi="Times New Roman"/>
          <w:i/>
          <w:iCs/>
          <w:sz w:val="24"/>
          <w:szCs w:val="24"/>
        </w:rPr>
        <w:t>)/</w:t>
      </w:r>
      <w:proofErr w:type="spellStart"/>
      <w:r w:rsidRPr="006037A4">
        <w:rPr>
          <w:rFonts w:ascii="Times New Roman" w:hAnsi="Times New Roman"/>
          <w:i/>
          <w:iCs/>
          <w:sz w:val="24"/>
          <w:szCs w:val="24"/>
        </w:rPr>
        <w:t>Iо</w:t>
      </w:r>
      <w:proofErr w:type="spellEnd"/>
      <w:r w:rsidRPr="006037A4">
        <w:rPr>
          <w:rFonts w:ascii="Times New Roman" w:hAnsi="Times New Roman"/>
          <w:i/>
          <w:iCs/>
          <w:sz w:val="24"/>
          <w:szCs w:val="24"/>
        </w:rPr>
        <w:t>]*100.Tn</w:t>
      </w:r>
    </w:p>
    <w:p w14:paraId="44BCB4F9" w14:textId="77777777" w:rsidR="00B3156F" w:rsidRDefault="00B3156F" w:rsidP="006037A4">
      <w:pPr>
        <w:pStyle w:val="ListParagraph"/>
        <w:tabs>
          <w:tab w:val="left" w:pos="1134"/>
        </w:tabs>
        <w:spacing w:after="0"/>
        <w:ind w:left="709"/>
        <w:jc w:val="center"/>
        <w:rPr>
          <w:rFonts w:ascii="Times New Roman" w:hAnsi="Times New Roman"/>
          <w:iCs/>
          <w:sz w:val="24"/>
          <w:szCs w:val="24"/>
        </w:rPr>
      </w:pPr>
    </w:p>
    <w:p w14:paraId="16777F8A" w14:textId="77777777" w:rsidR="00E920C6" w:rsidRPr="00E920C6" w:rsidRDefault="006037A4" w:rsidP="006037A4">
      <w:pPr>
        <w:pStyle w:val="ListParagraph"/>
        <w:tabs>
          <w:tab w:val="left" w:pos="1134"/>
        </w:tabs>
        <w:spacing w:after="0"/>
        <w:ind w:left="709"/>
        <w:jc w:val="both"/>
        <w:rPr>
          <w:rFonts w:ascii="Times New Roman" w:hAnsi="Times New Roman"/>
          <w:i/>
          <w:iCs/>
          <w:sz w:val="24"/>
          <w:szCs w:val="24"/>
        </w:rPr>
      </w:pPr>
      <w:proofErr w:type="spellStart"/>
      <w:r w:rsidRPr="00E920C6">
        <w:rPr>
          <w:rFonts w:ascii="Times New Roman" w:hAnsi="Times New Roman"/>
          <w:i/>
          <w:iCs/>
          <w:sz w:val="24"/>
          <w:szCs w:val="24"/>
        </w:rPr>
        <w:t>In</w:t>
      </w:r>
      <w:proofErr w:type="spellEnd"/>
      <w:r w:rsidRPr="00E920C6">
        <w:rPr>
          <w:rFonts w:ascii="Times New Roman" w:hAnsi="Times New Roman"/>
          <w:i/>
          <w:iCs/>
          <w:sz w:val="24"/>
          <w:szCs w:val="24"/>
        </w:rPr>
        <w:t xml:space="preserve"> е стойността на индекса за тримесечието, в което са приети дейностите по договора, или тримесечието, за което се индексира рамковото споразумение. </w:t>
      </w:r>
    </w:p>
    <w:p w14:paraId="7870F69A" w14:textId="77777777" w:rsidR="001149F0" w:rsidRDefault="006037A4" w:rsidP="00E920C6">
      <w:pPr>
        <w:tabs>
          <w:tab w:val="left" w:pos="1134"/>
        </w:tabs>
        <w:spacing w:after="0"/>
        <w:jc w:val="both"/>
        <w:rPr>
          <w:rFonts w:ascii="Times New Roman" w:hAnsi="Times New Roman"/>
          <w:iCs/>
          <w:sz w:val="24"/>
          <w:szCs w:val="24"/>
        </w:rPr>
      </w:pPr>
      <w:r w:rsidRPr="00E920C6">
        <w:rPr>
          <w:rFonts w:ascii="Times New Roman" w:hAnsi="Times New Roman"/>
          <w:iCs/>
          <w:sz w:val="24"/>
          <w:szCs w:val="24"/>
        </w:rPr>
        <w:t xml:space="preserve">За определяне на тримесечието, в което са приети дейностите, се използва датата на съставяне на Протокола за приемане на извършени СМР, който </w:t>
      </w:r>
      <w:r w:rsidR="00E920C6" w:rsidRPr="00E920C6">
        <w:rPr>
          <w:rFonts w:ascii="Times New Roman" w:hAnsi="Times New Roman"/>
          <w:iCs/>
          <w:sz w:val="24"/>
          <w:szCs w:val="24"/>
        </w:rPr>
        <w:t xml:space="preserve">е задължителен за съставяне </w:t>
      </w:r>
      <w:r w:rsidR="00E920C6">
        <w:rPr>
          <w:rFonts w:ascii="Times New Roman" w:hAnsi="Times New Roman"/>
          <w:iCs/>
          <w:sz w:val="24"/>
          <w:szCs w:val="24"/>
        </w:rPr>
        <w:t>при</w:t>
      </w:r>
      <w:r w:rsidR="00E920C6" w:rsidRPr="00E920C6">
        <w:rPr>
          <w:rFonts w:ascii="Times New Roman" w:hAnsi="Times New Roman"/>
          <w:iCs/>
          <w:sz w:val="24"/>
          <w:szCs w:val="24"/>
        </w:rPr>
        <w:t xml:space="preserve"> проекти по ОПРР 2014-2020 г. и </w:t>
      </w:r>
      <w:r w:rsidRPr="00E920C6">
        <w:rPr>
          <w:rFonts w:ascii="Times New Roman" w:hAnsi="Times New Roman"/>
          <w:iCs/>
          <w:sz w:val="24"/>
          <w:szCs w:val="24"/>
        </w:rPr>
        <w:t xml:space="preserve">бенефициентите следва да ползват </w:t>
      </w:r>
      <w:r w:rsidR="00E920C6" w:rsidRPr="00E920C6">
        <w:rPr>
          <w:rFonts w:ascii="Times New Roman" w:hAnsi="Times New Roman"/>
          <w:iCs/>
          <w:sz w:val="24"/>
          <w:szCs w:val="24"/>
        </w:rPr>
        <w:t>при искане за</w:t>
      </w:r>
      <w:r w:rsidRPr="00E920C6">
        <w:rPr>
          <w:rFonts w:ascii="Times New Roman" w:hAnsi="Times New Roman"/>
          <w:iCs/>
          <w:sz w:val="24"/>
          <w:szCs w:val="24"/>
        </w:rPr>
        <w:t xml:space="preserve"> възстановяване на разходи за СМР</w:t>
      </w:r>
      <w:r w:rsidR="00E920C6" w:rsidRPr="00E920C6">
        <w:rPr>
          <w:rFonts w:ascii="Times New Roman" w:hAnsi="Times New Roman"/>
          <w:iCs/>
          <w:sz w:val="24"/>
          <w:szCs w:val="24"/>
        </w:rPr>
        <w:t xml:space="preserve">. </w:t>
      </w:r>
    </w:p>
    <w:p w14:paraId="4EC617F8" w14:textId="73576DB3" w:rsidR="001149F0" w:rsidRDefault="00E920C6" w:rsidP="00E920C6">
      <w:pPr>
        <w:tabs>
          <w:tab w:val="left" w:pos="1134"/>
        </w:tabs>
        <w:spacing w:after="0"/>
        <w:jc w:val="both"/>
        <w:rPr>
          <w:rFonts w:ascii="Times New Roman" w:hAnsi="Times New Roman"/>
          <w:iCs/>
          <w:sz w:val="24"/>
          <w:szCs w:val="24"/>
        </w:rPr>
      </w:pPr>
      <w:r w:rsidRPr="00E920C6">
        <w:rPr>
          <w:rFonts w:ascii="Times New Roman" w:hAnsi="Times New Roman"/>
          <w:iCs/>
          <w:sz w:val="24"/>
          <w:szCs w:val="24"/>
        </w:rPr>
        <w:t>Всеки Протокол за приемане на извършени СМР е необходимо да се съставя съгласно първоначално определените стойности по договор с изпълнител</w:t>
      </w:r>
      <w:r>
        <w:rPr>
          <w:rFonts w:ascii="Times New Roman" w:hAnsi="Times New Roman"/>
          <w:iCs/>
          <w:sz w:val="24"/>
          <w:szCs w:val="24"/>
        </w:rPr>
        <w:t xml:space="preserve"> и финализира към посочената дата на приемане</w:t>
      </w:r>
      <w:r w:rsidRPr="00392C1C">
        <w:rPr>
          <w:rFonts w:ascii="Times New Roman" w:hAnsi="Times New Roman"/>
          <w:iCs/>
          <w:sz w:val="24"/>
          <w:szCs w:val="24"/>
        </w:rPr>
        <w:t xml:space="preserve">. </w:t>
      </w:r>
      <w:r w:rsidR="00340718" w:rsidRPr="00410DB2">
        <w:rPr>
          <w:rFonts w:ascii="Times New Roman" w:hAnsi="Times New Roman"/>
          <w:iCs/>
          <w:sz w:val="24"/>
          <w:szCs w:val="24"/>
        </w:rPr>
        <w:t>При</w:t>
      </w:r>
      <w:r w:rsidR="00202CB1" w:rsidRPr="00392C1C">
        <w:rPr>
          <w:rFonts w:ascii="Times New Roman" w:hAnsi="Times New Roman"/>
          <w:iCs/>
          <w:sz w:val="24"/>
          <w:szCs w:val="24"/>
        </w:rPr>
        <w:t xml:space="preserve"> съставяне</w:t>
      </w:r>
      <w:r w:rsidR="00202CB1" w:rsidRPr="003A5D33">
        <w:rPr>
          <w:rFonts w:ascii="Times New Roman" w:hAnsi="Times New Roman"/>
          <w:iCs/>
          <w:sz w:val="24"/>
          <w:szCs w:val="24"/>
        </w:rPr>
        <w:t xml:space="preserve"> на Протоколи за приемане на извършени СМР </w:t>
      </w:r>
      <w:r w:rsidR="00202CB1" w:rsidRPr="001149F0">
        <w:rPr>
          <w:rFonts w:ascii="Times New Roman" w:hAnsi="Times New Roman"/>
          <w:iCs/>
          <w:sz w:val="24"/>
          <w:szCs w:val="24"/>
        </w:rPr>
        <w:lastRenderedPageBreak/>
        <w:t>след подписване на Констативен акт</w:t>
      </w:r>
      <w:r w:rsidR="00202CB1" w:rsidRPr="00202CB1">
        <w:rPr>
          <w:rFonts w:ascii="Times New Roman" w:hAnsi="Times New Roman"/>
          <w:iCs/>
          <w:sz w:val="24"/>
          <w:szCs w:val="24"/>
        </w:rPr>
        <w:t xml:space="preserve"> за установяване годността за приемане на строежа </w:t>
      </w:r>
      <w:r w:rsidR="00202CB1">
        <w:rPr>
          <w:rFonts w:ascii="Times New Roman" w:hAnsi="Times New Roman"/>
          <w:iCs/>
          <w:sz w:val="24"/>
          <w:szCs w:val="24"/>
        </w:rPr>
        <w:t>(образец 15)</w:t>
      </w:r>
      <w:r w:rsidR="00340718">
        <w:rPr>
          <w:rFonts w:ascii="Times New Roman" w:hAnsi="Times New Roman"/>
          <w:iCs/>
          <w:sz w:val="24"/>
          <w:szCs w:val="24"/>
        </w:rPr>
        <w:t xml:space="preserve">, при прилагане на формулата за дата на приемане следва да се вземе датата на съставяне на Акт обр. 15, с </w:t>
      </w:r>
      <w:r w:rsidR="001149F0">
        <w:rPr>
          <w:rFonts w:ascii="Times New Roman" w:hAnsi="Times New Roman"/>
          <w:iCs/>
          <w:sz w:val="24"/>
          <w:szCs w:val="24"/>
        </w:rPr>
        <w:t>подписването на който</w:t>
      </w:r>
      <w:r w:rsidR="00340718">
        <w:rPr>
          <w:rFonts w:ascii="Times New Roman" w:hAnsi="Times New Roman"/>
          <w:iCs/>
          <w:sz w:val="24"/>
          <w:szCs w:val="24"/>
        </w:rPr>
        <w:t xml:space="preserve"> е извършено официално приемане на извършените СМР от всички участници в строителния процес</w:t>
      </w:r>
      <w:r w:rsidR="00202CB1">
        <w:rPr>
          <w:rFonts w:ascii="Times New Roman" w:hAnsi="Times New Roman"/>
          <w:iCs/>
          <w:sz w:val="24"/>
          <w:szCs w:val="24"/>
        </w:rPr>
        <w:t xml:space="preserve">. </w:t>
      </w:r>
    </w:p>
    <w:p w14:paraId="2C1DC47C" w14:textId="7F26DFEE" w:rsidR="001149F0" w:rsidRDefault="00082DD9" w:rsidP="00E920C6">
      <w:pPr>
        <w:tabs>
          <w:tab w:val="left" w:pos="1134"/>
        </w:tabs>
        <w:spacing w:after="0"/>
        <w:jc w:val="both"/>
        <w:rPr>
          <w:rFonts w:ascii="Times New Roman" w:hAnsi="Times New Roman"/>
          <w:iCs/>
          <w:sz w:val="24"/>
          <w:szCs w:val="24"/>
        </w:rPr>
      </w:pPr>
      <w:r>
        <w:rPr>
          <w:rFonts w:ascii="Times New Roman" w:hAnsi="Times New Roman"/>
          <w:iCs/>
          <w:sz w:val="24"/>
          <w:szCs w:val="24"/>
        </w:rPr>
        <w:t xml:space="preserve">Въз основа на тези протоколи приетите дейности следва да бъдат разплатени към изпълнителя, съобразно условията и сроковете на сключения договор с изпълнител, като се включат в отделни </w:t>
      </w:r>
      <w:proofErr w:type="spellStart"/>
      <w:r w:rsidRPr="00082DD9">
        <w:rPr>
          <w:rFonts w:ascii="Times New Roman" w:hAnsi="Times New Roman"/>
          <w:iCs/>
          <w:sz w:val="24"/>
          <w:szCs w:val="24"/>
        </w:rPr>
        <w:t>разходооправдателни</w:t>
      </w:r>
      <w:proofErr w:type="spellEnd"/>
      <w:r w:rsidRPr="00082DD9">
        <w:rPr>
          <w:rFonts w:ascii="Times New Roman" w:hAnsi="Times New Roman"/>
          <w:iCs/>
          <w:sz w:val="24"/>
          <w:szCs w:val="24"/>
        </w:rPr>
        <w:t xml:space="preserve"> документи</w:t>
      </w:r>
      <w:r>
        <w:rPr>
          <w:rFonts w:ascii="Times New Roman" w:hAnsi="Times New Roman"/>
          <w:iCs/>
          <w:sz w:val="24"/>
          <w:szCs w:val="24"/>
        </w:rPr>
        <w:t xml:space="preserve">. </w:t>
      </w:r>
      <w:r w:rsidR="00E920C6">
        <w:rPr>
          <w:rFonts w:ascii="Times New Roman" w:hAnsi="Times New Roman"/>
          <w:iCs/>
          <w:sz w:val="24"/>
          <w:szCs w:val="24"/>
        </w:rPr>
        <w:t>Препоръчително е бенефициентите да съставят своевременно съответните протоколи</w:t>
      </w:r>
      <w:r w:rsidR="00180A2C">
        <w:rPr>
          <w:rFonts w:ascii="Times New Roman" w:hAnsi="Times New Roman"/>
          <w:iCs/>
          <w:sz w:val="24"/>
          <w:szCs w:val="24"/>
        </w:rPr>
        <w:t xml:space="preserve"> за приемане на извършени СМР</w:t>
      </w:r>
      <w:r w:rsidR="00E920C6">
        <w:rPr>
          <w:rFonts w:ascii="Times New Roman" w:hAnsi="Times New Roman"/>
          <w:iCs/>
          <w:sz w:val="24"/>
          <w:szCs w:val="24"/>
        </w:rPr>
        <w:t xml:space="preserve">, като приемат периодично изпълнените СМР. Обръщаме внимание, че това се налага поради </w:t>
      </w:r>
      <w:r w:rsidR="00B30ACF">
        <w:rPr>
          <w:rFonts w:ascii="Times New Roman" w:hAnsi="Times New Roman"/>
          <w:iCs/>
          <w:sz w:val="24"/>
          <w:szCs w:val="24"/>
        </w:rPr>
        <w:t>по-късното публикуване на индекса на цените за дадено тримесечие</w:t>
      </w:r>
      <w:r w:rsidR="00B30ACF" w:rsidRPr="00B30ACF">
        <w:rPr>
          <w:rFonts w:ascii="Times New Roman" w:hAnsi="Times New Roman"/>
          <w:iCs/>
          <w:sz w:val="24"/>
          <w:szCs w:val="24"/>
        </w:rPr>
        <w:t xml:space="preserve"> </w:t>
      </w:r>
      <w:r w:rsidR="00B30ACF">
        <w:rPr>
          <w:rFonts w:ascii="Times New Roman" w:hAnsi="Times New Roman"/>
          <w:iCs/>
          <w:sz w:val="24"/>
          <w:szCs w:val="24"/>
        </w:rPr>
        <w:t xml:space="preserve">на интернет страницата на НСИ. </w:t>
      </w:r>
    </w:p>
    <w:p w14:paraId="2CA3CDBA" w14:textId="77777777" w:rsidR="001149F0" w:rsidRDefault="00082DD9" w:rsidP="00E920C6">
      <w:pPr>
        <w:tabs>
          <w:tab w:val="left" w:pos="1134"/>
        </w:tabs>
        <w:spacing w:after="0"/>
        <w:jc w:val="both"/>
        <w:rPr>
          <w:rFonts w:ascii="Times New Roman" w:hAnsi="Times New Roman"/>
          <w:iCs/>
          <w:sz w:val="24"/>
          <w:szCs w:val="24"/>
        </w:rPr>
      </w:pPr>
      <w:r>
        <w:rPr>
          <w:rFonts w:ascii="Times New Roman" w:hAnsi="Times New Roman"/>
          <w:iCs/>
          <w:sz w:val="24"/>
          <w:szCs w:val="24"/>
        </w:rPr>
        <w:t>След публикуване на индекса за съответното тримесечие, бенефициентът следва да състави допълнителен протокол, в които да посочи начина на определяне</w:t>
      </w:r>
      <w:r w:rsidR="005D7DAA">
        <w:rPr>
          <w:rFonts w:ascii="Times New Roman" w:hAnsi="Times New Roman"/>
          <w:iCs/>
          <w:sz w:val="24"/>
          <w:szCs w:val="24"/>
        </w:rPr>
        <w:t>, вкл. конкретните индексите и изчисления,</w:t>
      </w:r>
      <w:r>
        <w:rPr>
          <w:rFonts w:ascii="Times New Roman" w:hAnsi="Times New Roman"/>
          <w:iCs/>
          <w:sz w:val="24"/>
          <w:szCs w:val="24"/>
        </w:rPr>
        <w:t xml:space="preserve"> </w:t>
      </w:r>
      <w:r w:rsidR="005D7DAA">
        <w:rPr>
          <w:rFonts w:ascii="Times New Roman" w:hAnsi="Times New Roman"/>
          <w:iCs/>
          <w:sz w:val="24"/>
          <w:szCs w:val="24"/>
        </w:rPr>
        <w:t>з</w:t>
      </w:r>
      <w:r>
        <w:rPr>
          <w:rFonts w:ascii="Times New Roman" w:hAnsi="Times New Roman"/>
          <w:iCs/>
          <w:sz w:val="24"/>
          <w:szCs w:val="24"/>
        </w:rPr>
        <w:t xml:space="preserve">а изменение цената на приетите дейности по даден </w:t>
      </w:r>
      <w:r w:rsidRPr="00E920C6">
        <w:rPr>
          <w:rFonts w:ascii="Times New Roman" w:hAnsi="Times New Roman"/>
          <w:iCs/>
          <w:sz w:val="24"/>
          <w:szCs w:val="24"/>
        </w:rPr>
        <w:t>Протокол за приемане на извършени СМР</w:t>
      </w:r>
      <w:r>
        <w:rPr>
          <w:rFonts w:ascii="Times New Roman" w:hAnsi="Times New Roman"/>
          <w:iCs/>
          <w:sz w:val="24"/>
          <w:szCs w:val="24"/>
        </w:rPr>
        <w:t>.</w:t>
      </w:r>
      <w:r w:rsidR="005D7DAA">
        <w:rPr>
          <w:rFonts w:ascii="Times New Roman" w:hAnsi="Times New Roman"/>
          <w:iCs/>
          <w:sz w:val="24"/>
          <w:szCs w:val="24"/>
        </w:rPr>
        <w:t xml:space="preserve"> Този допълнителен протокол (в свободен текст без отношение към образеца на акт 19) </w:t>
      </w:r>
      <w:r w:rsidR="00B3156F">
        <w:rPr>
          <w:rFonts w:ascii="Times New Roman" w:hAnsi="Times New Roman"/>
          <w:iCs/>
          <w:sz w:val="24"/>
          <w:szCs w:val="24"/>
        </w:rPr>
        <w:t>е необходимо</w:t>
      </w:r>
      <w:r w:rsidR="005D7DAA">
        <w:rPr>
          <w:rFonts w:ascii="Times New Roman" w:hAnsi="Times New Roman"/>
          <w:iCs/>
          <w:sz w:val="24"/>
          <w:szCs w:val="24"/>
        </w:rPr>
        <w:t xml:space="preserve"> да се подпише </w:t>
      </w:r>
      <w:r w:rsidR="00B3156F">
        <w:rPr>
          <w:rFonts w:ascii="Times New Roman" w:hAnsi="Times New Roman"/>
          <w:iCs/>
          <w:sz w:val="24"/>
          <w:szCs w:val="24"/>
        </w:rPr>
        <w:t>между възложителя и изпълнителя след публикуване на индекса за дадено тримесечие</w:t>
      </w:r>
      <w:r w:rsidR="00763471">
        <w:rPr>
          <w:rFonts w:ascii="Times New Roman" w:hAnsi="Times New Roman"/>
          <w:iCs/>
          <w:sz w:val="24"/>
          <w:szCs w:val="24"/>
        </w:rPr>
        <w:t>.</w:t>
      </w:r>
      <w:r w:rsidR="00B3156F">
        <w:rPr>
          <w:rFonts w:ascii="Times New Roman" w:hAnsi="Times New Roman"/>
          <w:iCs/>
          <w:sz w:val="24"/>
          <w:szCs w:val="24"/>
        </w:rPr>
        <w:t xml:space="preserve"> </w:t>
      </w:r>
    </w:p>
    <w:p w14:paraId="70E5A83D" w14:textId="1169B888" w:rsidR="001149F0" w:rsidRDefault="00763471" w:rsidP="00E920C6">
      <w:pPr>
        <w:tabs>
          <w:tab w:val="left" w:pos="1134"/>
        </w:tabs>
        <w:spacing w:after="0"/>
        <w:jc w:val="both"/>
        <w:rPr>
          <w:rFonts w:ascii="Times New Roman" w:hAnsi="Times New Roman"/>
          <w:iCs/>
          <w:sz w:val="24"/>
          <w:szCs w:val="24"/>
        </w:rPr>
      </w:pPr>
      <w:r>
        <w:rPr>
          <w:rFonts w:ascii="Times New Roman" w:hAnsi="Times New Roman"/>
          <w:iCs/>
          <w:sz w:val="24"/>
          <w:szCs w:val="24"/>
        </w:rPr>
        <w:t>За о</w:t>
      </w:r>
      <w:r w:rsidR="00B3156F">
        <w:rPr>
          <w:rFonts w:ascii="Times New Roman" w:hAnsi="Times New Roman"/>
          <w:iCs/>
          <w:sz w:val="24"/>
          <w:szCs w:val="24"/>
        </w:rPr>
        <w:t>пределени</w:t>
      </w:r>
      <w:r>
        <w:rPr>
          <w:rFonts w:ascii="Times New Roman" w:hAnsi="Times New Roman"/>
          <w:iCs/>
          <w:sz w:val="24"/>
          <w:szCs w:val="24"/>
        </w:rPr>
        <w:t>я размер на</w:t>
      </w:r>
      <w:r w:rsidR="00B3156F">
        <w:rPr>
          <w:rFonts w:ascii="Times New Roman" w:hAnsi="Times New Roman"/>
          <w:iCs/>
          <w:sz w:val="24"/>
          <w:szCs w:val="24"/>
        </w:rPr>
        <w:t xml:space="preserve"> разходите</w:t>
      </w:r>
      <w:r>
        <w:rPr>
          <w:rFonts w:ascii="Times New Roman" w:hAnsi="Times New Roman"/>
          <w:iCs/>
          <w:sz w:val="24"/>
          <w:szCs w:val="24"/>
        </w:rPr>
        <w:t xml:space="preserve">, с които се индексира стойността </w:t>
      </w:r>
      <w:r w:rsidR="003C6771">
        <w:rPr>
          <w:rFonts w:ascii="Times New Roman" w:hAnsi="Times New Roman"/>
          <w:iCs/>
          <w:sz w:val="24"/>
          <w:szCs w:val="24"/>
        </w:rPr>
        <w:t xml:space="preserve">на </w:t>
      </w:r>
      <w:r>
        <w:rPr>
          <w:rFonts w:ascii="Times New Roman" w:hAnsi="Times New Roman"/>
          <w:iCs/>
          <w:sz w:val="24"/>
          <w:szCs w:val="24"/>
        </w:rPr>
        <w:t>вече приетите СМР, се изд</w:t>
      </w:r>
      <w:r w:rsidR="009A57F3">
        <w:rPr>
          <w:rFonts w:ascii="Times New Roman" w:hAnsi="Times New Roman"/>
          <w:iCs/>
          <w:sz w:val="24"/>
          <w:szCs w:val="24"/>
        </w:rPr>
        <w:t>ава дебитно известие за увелич</w:t>
      </w:r>
      <w:r w:rsidR="001149F0">
        <w:rPr>
          <w:rFonts w:ascii="Times New Roman" w:hAnsi="Times New Roman"/>
          <w:iCs/>
          <w:sz w:val="24"/>
          <w:szCs w:val="24"/>
        </w:rPr>
        <w:t>а</w:t>
      </w:r>
      <w:r w:rsidR="009A57F3">
        <w:rPr>
          <w:rFonts w:ascii="Times New Roman" w:hAnsi="Times New Roman"/>
          <w:iCs/>
          <w:sz w:val="24"/>
          <w:szCs w:val="24"/>
        </w:rPr>
        <w:t>ване на данъчната основа на издадена вече фактура за приетите СМР. Документът се издава</w:t>
      </w:r>
      <w:r w:rsidR="00264C52">
        <w:rPr>
          <w:rFonts w:ascii="Times New Roman" w:hAnsi="Times New Roman"/>
          <w:iCs/>
          <w:sz w:val="24"/>
          <w:szCs w:val="24"/>
        </w:rPr>
        <w:t>,</w:t>
      </w:r>
      <w:r w:rsidR="009A57F3">
        <w:rPr>
          <w:rFonts w:ascii="Times New Roman" w:hAnsi="Times New Roman"/>
          <w:iCs/>
          <w:sz w:val="24"/>
          <w:szCs w:val="24"/>
        </w:rPr>
        <w:t xml:space="preserve"> като се спазват изискванията на чл.</w:t>
      </w:r>
      <w:r w:rsidR="008F3B63">
        <w:rPr>
          <w:rFonts w:ascii="Times New Roman" w:hAnsi="Times New Roman"/>
          <w:iCs/>
          <w:sz w:val="24"/>
          <w:szCs w:val="24"/>
        </w:rPr>
        <w:t xml:space="preserve">115 </w:t>
      </w:r>
      <w:r w:rsidR="00264C52">
        <w:rPr>
          <w:rFonts w:ascii="Times New Roman" w:hAnsi="Times New Roman"/>
          <w:iCs/>
          <w:sz w:val="24"/>
          <w:szCs w:val="24"/>
        </w:rPr>
        <w:t>от</w:t>
      </w:r>
      <w:r w:rsidR="002132D6">
        <w:rPr>
          <w:rFonts w:ascii="Times New Roman" w:hAnsi="Times New Roman"/>
          <w:iCs/>
          <w:sz w:val="24"/>
          <w:szCs w:val="24"/>
        </w:rPr>
        <w:t xml:space="preserve"> ЗДДС</w:t>
      </w:r>
      <w:r w:rsidR="00347DB8">
        <w:rPr>
          <w:rFonts w:ascii="Times New Roman" w:hAnsi="Times New Roman"/>
          <w:iCs/>
          <w:sz w:val="24"/>
          <w:szCs w:val="24"/>
        </w:rPr>
        <w:t xml:space="preserve"> и всички приложими разпоредби</w:t>
      </w:r>
      <w:r>
        <w:rPr>
          <w:rFonts w:ascii="Times New Roman" w:hAnsi="Times New Roman"/>
          <w:iCs/>
          <w:sz w:val="24"/>
          <w:szCs w:val="24"/>
        </w:rPr>
        <w:t>.</w:t>
      </w:r>
    </w:p>
    <w:p w14:paraId="016484C3" w14:textId="695A61CE" w:rsidR="006037A4" w:rsidRPr="00E920C6" w:rsidRDefault="00B3156F" w:rsidP="00E920C6">
      <w:pPr>
        <w:tabs>
          <w:tab w:val="left" w:pos="1134"/>
        </w:tabs>
        <w:spacing w:after="0"/>
        <w:jc w:val="both"/>
        <w:rPr>
          <w:rFonts w:ascii="Times New Roman" w:hAnsi="Times New Roman"/>
          <w:iCs/>
          <w:sz w:val="24"/>
          <w:szCs w:val="24"/>
        </w:rPr>
      </w:pPr>
      <w:r>
        <w:rPr>
          <w:rFonts w:ascii="Times New Roman" w:hAnsi="Times New Roman"/>
          <w:iCs/>
          <w:sz w:val="24"/>
          <w:szCs w:val="24"/>
        </w:rPr>
        <w:t>Следва да се има предвид, че при приключване на АДБФП преди изтичане на дадено тримесечие и съответно публикуването на индекса от НСИ, за приетите дейности през последното тримесечие няма да има възможност за възстановяване на разходите за индексация, тъй като същите ще бъдат извършени извън периода на допустимост по проекта.</w:t>
      </w:r>
    </w:p>
    <w:p w14:paraId="0845E617" w14:textId="77777777" w:rsidR="00B3156F" w:rsidRDefault="00B3156F" w:rsidP="00B3156F">
      <w:pPr>
        <w:pStyle w:val="ListParagraph"/>
        <w:tabs>
          <w:tab w:val="left" w:pos="1134"/>
        </w:tabs>
        <w:spacing w:after="0"/>
        <w:ind w:left="709"/>
        <w:jc w:val="both"/>
        <w:rPr>
          <w:rFonts w:ascii="Times New Roman" w:hAnsi="Times New Roman"/>
          <w:i/>
          <w:iCs/>
          <w:sz w:val="24"/>
          <w:szCs w:val="24"/>
        </w:rPr>
      </w:pPr>
    </w:p>
    <w:p w14:paraId="7C98AB23" w14:textId="77777777" w:rsidR="00B3156F" w:rsidRPr="00B3156F" w:rsidRDefault="00B3156F" w:rsidP="00B3156F">
      <w:pPr>
        <w:pStyle w:val="ListParagraph"/>
        <w:tabs>
          <w:tab w:val="left" w:pos="1134"/>
        </w:tabs>
        <w:spacing w:after="0"/>
        <w:ind w:left="709"/>
        <w:jc w:val="both"/>
        <w:rPr>
          <w:rFonts w:ascii="Times New Roman" w:hAnsi="Times New Roman"/>
          <w:i/>
          <w:iCs/>
          <w:sz w:val="24"/>
          <w:szCs w:val="24"/>
        </w:rPr>
      </w:pPr>
      <w:proofErr w:type="spellStart"/>
      <w:r w:rsidRPr="00B3156F">
        <w:rPr>
          <w:rFonts w:ascii="Times New Roman" w:hAnsi="Times New Roman"/>
          <w:i/>
          <w:iCs/>
          <w:sz w:val="24"/>
          <w:szCs w:val="24"/>
        </w:rPr>
        <w:t>Iо</w:t>
      </w:r>
      <w:proofErr w:type="spellEnd"/>
      <w:r w:rsidRPr="00B3156F">
        <w:rPr>
          <w:rFonts w:ascii="Times New Roman" w:hAnsi="Times New Roman"/>
          <w:i/>
          <w:iCs/>
          <w:sz w:val="24"/>
          <w:szCs w:val="24"/>
        </w:rPr>
        <w:t xml:space="preserve"> е стойността на индекса към 31.12.2020 г. за оферти, подадени преди 31.12.2020 г. или датата на съответното тримесечие.</w:t>
      </w:r>
    </w:p>
    <w:p w14:paraId="07EA5E8F" w14:textId="77777777" w:rsidR="00B3156F" w:rsidRPr="00B3156F" w:rsidRDefault="00B3156F" w:rsidP="00B3156F">
      <w:pPr>
        <w:tabs>
          <w:tab w:val="left" w:pos="1134"/>
        </w:tabs>
        <w:spacing w:after="0"/>
        <w:jc w:val="both"/>
        <w:rPr>
          <w:rFonts w:ascii="Times New Roman" w:hAnsi="Times New Roman"/>
          <w:iCs/>
          <w:sz w:val="24"/>
          <w:szCs w:val="24"/>
        </w:rPr>
      </w:pPr>
      <w:proofErr w:type="spellStart"/>
      <w:r w:rsidRPr="00B3156F">
        <w:rPr>
          <w:rFonts w:ascii="Times New Roman" w:hAnsi="Times New Roman"/>
          <w:iCs/>
          <w:sz w:val="24"/>
          <w:szCs w:val="24"/>
        </w:rPr>
        <w:t>Iо</w:t>
      </w:r>
      <w:proofErr w:type="spellEnd"/>
      <w:r>
        <w:rPr>
          <w:rFonts w:ascii="Times New Roman" w:hAnsi="Times New Roman"/>
          <w:iCs/>
          <w:sz w:val="24"/>
          <w:szCs w:val="24"/>
        </w:rPr>
        <w:t xml:space="preserve"> е постоянна величина и същата се определя еднократно за дадения договор за обществена поръчка спрямо датата на подаване на оферта от изпълнителя.</w:t>
      </w:r>
    </w:p>
    <w:p w14:paraId="453A40FB" w14:textId="0C1991E1" w:rsidR="00B3156F" w:rsidRDefault="00B3156F" w:rsidP="006037A4">
      <w:pPr>
        <w:pStyle w:val="ListParagraph"/>
        <w:tabs>
          <w:tab w:val="left" w:pos="1134"/>
        </w:tabs>
        <w:spacing w:after="0"/>
        <w:ind w:left="709"/>
        <w:jc w:val="both"/>
        <w:rPr>
          <w:rFonts w:ascii="Times New Roman" w:hAnsi="Times New Roman"/>
          <w:i/>
          <w:iCs/>
          <w:sz w:val="24"/>
          <w:szCs w:val="24"/>
        </w:rPr>
      </w:pPr>
    </w:p>
    <w:p w14:paraId="71356225" w14:textId="77777777" w:rsidR="00A6261E" w:rsidRDefault="00A6261E" w:rsidP="00A6261E">
      <w:pPr>
        <w:tabs>
          <w:tab w:val="left" w:pos="1134"/>
        </w:tabs>
        <w:spacing w:after="0"/>
        <w:jc w:val="both"/>
        <w:rPr>
          <w:rFonts w:ascii="Times New Roman" w:hAnsi="Times New Roman"/>
          <w:iCs/>
          <w:sz w:val="24"/>
          <w:szCs w:val="24"/>
        </w:rPr>
      </w:pPr>
      <w:r>
        <w:rPr>
          <w:rFonts w:ascii="Times New Roman" w:hAnsi="Times New Roman"/>
          <w:iCs/>
          <w:sz w:val="24"/>
          <w:szCs w:val="24"/>
        </w:rPr>
        <w:t xml:space="preserve">Съгласно чл. 3 от Методиката, бенефициентите могат да използват за </w:t>
      </w:r>
      <w:proofErr w:type="spellStart"/>
      <w:r w:rsidRPr="00B3156F">
        <w:rPr>
          <w:rFonts w:ascii="Times New Roman" w:hAnsi="Times New Roman"/>
          <w:iCs/>
          <w:sz w:val="24"/>
          <w:szCs w:val="24"/>
        </w:rPr>
        <w:t>Iо</w:t>
      </w:r>
      <w:proofErr w:type="spellEnd"/>
      <w:r>
        <w:rPr>
          <w:rFonts w:ascii="Times New Roman" w:hAnsi="Times New Roman"/>
          <w:iCs/>
          <w:sz w:val="24"/>
          <w:szCs w:val="24"/>
        </w:rPr>
        <w:t xml:space="preserve"> и </w:t>
      </w:r>
      <w:proofErr w:type="spellStart"/>
      <w:r w:rsidRPr="004B04F6">
        <w:rPr>
          <w:rFonts w:ascii="Times New Roman" w:hAnsi="Times New Roman"/>
          <w:iCs/>
          <w:sz w:val="24"/>
          <w:szCs w:val="24"/>
        </w:rPr>
        <w:t>In</w:t>
      </w:r>
      <w:proofErr w:type="spellEnd"/>
      <w:r>
        <w:rPr>
          <w:rFonts w:ascii="Times New Roman" w:hAnsi="Times New Roman"/>
          <w:iCs/>
          <w:sz w:val="24"/>
          <w:szCs w:val="24"/>
        </w:rPr>
        <w:t xml:space="preserve"> </w:t>
      </w:r>
      <w:r w:rsidRPr="00C625F2">
        <w:rPr>
          <w:rFonts w:ascii="Times New Roman" w:hAnsi="Times New Roman"/>
          <w:iCs/>
          <w:sz w:val="24"/>
          <w:szCs w:val="24"/>
        </w:rPr>
        <w:t>индекси</w:t>
      </w:r>
      <w:r>
        <w:rPr>
          <w:rFonts w:ascii="Times New Roman" w:hAnsi="Times New Roman"/>
          <w:iCs/>
          <w:sz w:val="24"/>
          <w:szCs w:val="24"/>
        </w:rPr>
        <w:t>те</w:t>
      </w:r>
      <w:r w:rsidRPr="00C625F2">
        <w:rPr>
          <w:rFonts w:ascii="Times New Roman" w:hAnsi="Times New Roman"/>
          <w:iCs/>
          <w:sz w:val="24"/>
          <w:szCs w:val="24"/>
        </w:rPr>
        <w:t xml:space="preserve"> на цени на производител на вътрешния или на международния пазар на строителни материали</w:t>
      </w:r>
      <w:r>
        <w:rPr>
          <w:rFonts w:ascii="Times New Roman" w:hAnsi="Times New Roman"/>
          <w:iCs/>
          <w:sz w:val="24"/>
          <w:szCs w:val="24"/>
        </w:rPr>
        <w:t>, които се публикуват съответно на интернет страницата на НСИ или Евростат. С оглед характера на изпълнение на проектите по ОПРР 2014-2020, при изчисление следва да се ползват публикуваните индекси на интернет страницата на НСИ:</w:t>
      </w:r>
    </w:p>
    <w:p w14:paraId="28031F5A" w14:textId="257DB0C7" w:rsidR="00A6261E" w:rsidRPr="00B3156F" w:rsidRDefault="00A56E6C" w:rsidP="00A6261E">
      <w:pPr>
        <w:tabs>
          <w:tab w:val="left" w:pos="1134"/>
        </w:tabs>
        <w:spacing w:after="0"/>
        <w:jc w:val="center"/>
        <w:rPr>
          <w:rFonts w:ascii="Times New Roman" w:hAnsi="Times New Roman"/>
          <w:iCs/>
          <w:sz w:val="24"/>
          <w:szCs w:val="24"/>
        </w:rPr>
      </w:pPr>
      <w:hyperlink r:id="rId9" w:history="1">
        <w:r w:rsidR="00A6261E" w:rsidRPr="00360468">
          <w:rPr>
            <w:rStyle w:val="Hyperlink"/>
            <w:rFonts w:ascii="Times New Roman" w:hAnsi="Times New Roman"/>
            <w:iCs/>
            <w:sz w:val="24"/>
            <w:szCs w:val="24"/>
          </w:rPr>
          <w:t>https://infostat.nsi.bg/infostat/pages/reports/query.jsf?x_2=1930</w:t>
        </w:r>
      </w:hyperlink>
    </w:p>
    <w:p w14:paraId="4BFE2DF1" w14:textId="77777777" w:rsidR="00A6261E" w:rsidRDefault="00A6261E" w:rsidP="006037A4">
      <w:pPr>
        <w:pStyle w:val="ListParagraph"/>
        <w:tabs>
          <w:tab w:val="left" w:pos="1134"/>
        </w:tabs>
        <w:spacing w:after="0"/>
        <w:ind w:left="709"/>
        <w:jc w:val="both"/>
        <w:rPr>
          <w:rFonts w:ascii="Times New Roman" w:hAnsi="Times New Roman"/>
          <w:i/>
          <w:iCs/>
          <w:sz w:val="24"/>
          <w:szCs w:val="24"/>
        </w:rPr>
      </w:pPr>
    </w:p>
    <w:p w14:paraId="66DBBD64" w14:textId="77777777" w:rsidR="006037A4" w:rsidRPr="00B3156F" w:rsidRDefault="006037A4" w:rsidP="006037A4">
      <w:pPr>
        <w:pStyle w:val="ListParagraph"/>
        <w:tabs>
          <w:tab w:val="left" w:pos="1134"/>
        </w:tabs>
        <w:spacing w:after="0"/>
        <w:ind w:left="709"/>
        <w:jc w:val="both"/>
        <w:rPr>
          <w:rFonts w:ascii="Times New Roman" w:hAnsi="Times New Roman"/>
          <w:i/>
          <w:iCs/>
          <w:sz w:val="24"/>
          <w:szCs w:val="24"/>
        </w:rPr>
      </w:pPr>
      <w:proofErr w:type="spellStart"/>
      <w:r w:rsidRPr="00B3156F">
        <w:rPr>
          <w:rFonts w:ascii="Times New Roman" w:hAnsi="Times New Roman"/>
          <w:i/>
          <w:iCs/>
          <w:sz w:val="24"/>
          <w:szCs w:val="24"/>
        </w:rPr>
        <w:lastRenderedPageBreak/>
        <w:t>Tn</w:t>
      </w:r>
      <w:proofErr w:type="spellEnd"/>
      <w:r w:rsidRPr="00B3156F">
        <w:rPr>
          <w:rFonts w:ascii="Times New Roman" w:hAnsi="Times New Roman"/>
          <w:i/>
          <w:iCs/>
          <w:sz w:val="24"/>
          <w:szCs w:val="24"/>
        </w:rPr>
        <w:t xml:space="preserve"> е </w:t>
      </w:r>
      <w:proofErr w:type="spellStart"/>
      <w:r w:rsidRPr="00B3156F">
        <w:rPr>
          <w:rFonts w:ascii="Times New Roman" w:hAnsi="Times New Roman"/>
          <w:i/>
          <w:iCs/>
          <w:sz w:val="24"/>
          <w:szCs w:val="24"/>
        </w:rPr>
        <w:t>тежестният</w:t>
      </w:r>
      <w:proofErr w:type="spellEnd"/>
      <w:r w:rsidRPr="00B3156F">
        <w:rPr>
          <w:rFonts w:ascii="Times New Roman" w:hAnsi="Times New Roman"/>
          <w:i/>
          <w:iCs/>
          <w:sz w:val="24"/>
          <w:szCs w:val="24"/>
        </w:rPr>
        <w:t xml:space="preserve"> коефициент за съответния вид строеж съгласно таблицата за Тежест на строителните материали в себестойността на различните видове строежи.</w:t>
      </w:r>
    </w:p>
    <w:p w14:paraId="16FD87DD" w14:textId="77777777" w:rsidR="00B3156F" w:rsidRPr="00C46393" w:rsidRDefault="00C46393" w:rsidP="00C46393">
      <w:pPr>
        <w:tabs>
          <w:tab w:val="left" w:pos="1134"/>
        </w:tabs>
        <w:spacing w:after="0"/>
        <w:jc w:val="both"/>
        <w:rPr>
          <w:rFonts w:ascii="Times New Roman" w:hAnsi="Times New Roman"/>
          <w:iCs/>
          <w:sz w:val="24"/>
          <w:szCs w:val="24"/>
        </w:rPr>
      </w:pPr>
      <w:r>
        <w:rPr>
          <w:rFonts w:ascii="Times New Roman" w:hAnsi="Times New Roman"/>
          <w:iCs/>
          <w:sz w:val="24"/>
          <w:szCs w:val="24"/>
        </w:rPr>
        <w:t xml:space="preserve">По ОПРР 2014-2020 г. за проектите за градски транспорт, градска среда и пътна инфраструктура следва да се използва </w:t>
      </w:r>
      <w:proofErr w:type="spellStart"/>
      <w:r w:rsidRPr="00C46393">
        <w:rPr>
          <w:rFonts w:ascii="Times New Roman" w:hAnsi="Times New Roman"/>
          <w:iCs/>
          <w:sz w:val="24"/>
          <w:szCs w:val="24"/>
        </w:rPr>
        <w:t>тежест</w:t>
      </w:r>
      <w:r>
        <w:rPr>
          <w:rFonts w:ascii="Times New Roman" w:hAnsi="Times New Roman"/>
          <w:iCs/>
          <w:sz w:val="24"/>
          <w:szCs w:val="24"/>
        </w:rPr>
        <w:t>е</w:t>
      </w:r>
      <w:r w:rsidRPr="00C46393">
        <w:rPr>
          <w:rFonts w:ascii="Times New Roman" w:hAnsi="Times New Roman"/>
          <w:iCs/>
          <w:sz w:val="24"/>
          <w:szCs w:val="24"/>
        </w:rPr>
        <w:t>н</w:t>
      </w:r>
      <w:proofErr w:type="spellEnd"/>
      <w:r w:rsidRPr="00C46393">
        <w:rPr>
          <w:rFonts w:ascii="Times New Roman" w:hAnsi="Times New Roman"/>
          <w:iCs/>
          <w:sz w:val="24"/>
          <w:szCs w:val="24"/>
        </w:rPr>
        <w:t xml:space="preserve"> коефициент</w:t>
      </w:r>
      <w:r>
        <w:rPr>
          <w:rFonts w:ascii="Times New Roman" w:hAnsi="Times New Roman"/>
          <w:iCs/>
          <w:sz w:val="24"/>
          <w:szCs w:val="24"/>
        </w:rPr>
        <w:t xml:space="preserve"> </w:t>
      </w:r>
      <w:r>
        <w:rPr>
          <w:rFonts w:ascii="Times New Roman" w:hAnsi="Times New Roman"/>
          <w:i/>
          <w:iCs/>
          <w:sz w:val="24"/>
          <w:szCs w:val="24"/>
        </w:rPr>
        <w:t>„</w:t>
      </w:r>
      <w:r w:rsidRPr="00C46393">
        <w:rPr>
          <w:rFonts w:ascii="Times New Roman" w:hAnsi="Times New Roman"/>
          <w:i/>
          <w:iCs/>
          <w:sz w:val="24"/>
          <w:szCs w:val="24"/>
        </w:rPr>
        <w:t>Строителство на автомагистрали, скоростни пътища, РПМ, общински пътища, улици, пътни съоръжения, обекти от градска среда (паркове, междублокови пространства, детски и спортни площадки и друга прилежаща инфраструктура)“</w:t>
      </w:r>
      <w:r>
        <w:rPr>
          <w:rFonts w:ascii="Times New Roman" w:hAnsi="Times New Roman"/>
          <w:i/>
          <w:iCs/>
          <w:sz w:val="24"/>
          <w:szCs w:val="24"/>
        </w:rPr>
        <w:t xml:space="preserve"> </w:t>
      </w:r>
      <w:r w:rsidRPr="00C46393">
        <w:rPr>
          <w:rFonts w:ascii="Times New Roman" w:hAnsi="Times New Roman"/>
          <w:iCs/>
          <w:sz w:val="24"/>
          <w:szCs w:val="24"/>
        </w:rPr>
        <w:t>(55,00%)</w:t>
      </w:r>
      <w:r>
        <w:rPr>
          <w:rFonts w:ascii="Times New Roman" w:hAnsi="Times New Roman"/>
          <w:iCs/>
          <w:sz w:val="24"/>
          <w:szCs w:val="24"/>
        </w:rPr>
        <w:t xml:space="preserve">, а за всички останали – </w:t>
      </w:r>
      <w:r w:rsidRPr="00C46393">
        <w:rPr>
          <w:rFonts w:ascii="Times New Roman" w:hAnsi="Times New Roman"/>
          <w:i/>
          <w:iCs/>
          <w:sz w:val="24"/>
          <w:szCs w:val="24"/>
        </w:rPr>
        <w:t>„Сградно строителство (жилищно, административно, обществено-обслужващо и прилежаща инфраструктура)“</w:t>
      </w:r>
      <w:r>
        <w:rPr>
          <w:rFonts w:ascii="Times New Roman" w:hAnsi="Times New Roman"/>
          <w:i/>
          <w:iCs/>
          <w:sz w:val="24"/>
          <w:szCs w:val="24"/>
        </w:rPr>
        <w:t xml:space="preserve"> </w:t>
      </w:r>
      <w:r>
        <w:rPr>
          <w:rFonts w:ascii="Times New Roman" w:hAnsi="Times New Roman"/>
          <w:iCs/>
          <w:sz w:val="24"/>
          <w:szCs w:val="24"/>
        </w:rPr>
        <w:t>(58,00%).</w:t>
      </w:r>
    </w:p>
    <w:p w14:paraId="1751D74B" w14:textId="77777777" w:rsidR="00C46393" w:rsidRPr="00202CB1" w:rsidRDefault="00C46393" w:rsidP="00B3156F">
      <w:pPr>
        <w:pStyle w:val="ListParagraph"/>
        <w:tabs>
          <w:tab w:val="left" w:pos="1134"/>
        </w:tabs>
        <w:spacing w:after="0"/>
        <w:ind w:left="709"/>
        <w:jc w:val="both"/>
        <w:rPr>
          <w:rFonts w:ascii="Times New Roman" w:hAnsi="Times New Roman"/>
          <w:i/>
          <w:iCs/>
          <w:sz w:val="24"/>
          <w:szCs w:val="24"/>
        </w:rPr>
      </w:pPr>
    </w:p>
    <w:p w14:paraId="39BD1FF4" w14:textId="77777777" w:rsidR="00B3156F" w:rsidRPr="00202CB1" w:rsidRDefault="00B3156F" w:rsidP="00B3156F">
      <w:pPr>
        <w:pStyle w:val="ListParagraph"/>
        <w:tabs>
          <w:tab w:val="left" w:pos="1134"/>
        </w:tabs>
        <w:spacing w:after="0"/>
        <w:ind w:left="709"/>
        <w:jc w:val="both"/>
        <w:rPr>
          <w:rFonts w:ascii="Times New Roman" w:hAnsi="Times New Roman"/>
          <w:i/>
          <w:iCs/>
          <w:sz w:val="24"/>
          <w:szCs w:val="24"/>
        </w:rPr>
      </w:pPr>
      <w:proofErr w:type="spellStart"/>
      <w:r w:rsidRPr="00202CB1">
        <w:rPr>
          <w:rFonts w:ascii="Times New Roman" w:hAnsi="Times New Roman"/>
          <w:i/>
          <w:iCs/>
          <w:sz w:val="24"/>
          <w:szCs w:val="24"/>
        </w:rPr>
        <w:t>Кn</w:t>
      </w:r>
      <w:proofErr w:type="spellEnd"/>
      <w:r w:rsidRPr="00202CB1">
        <w:rPr>
          <w:rFonts w:ascii="Times New Roman" w:hAnsi="Times New Roman"/>
          <w:i/>
          <w:iCs/>
          <w:sz w:val="24"/>
          <w:szCs w:val="24"/>
        </w:rPr>
        <w:t xml:space="preserve"> е изразената в проценти стойност, приложима към подлежащите на изменение стойности на строително-монтажни работи, предмет на формиране на стойността на договора и рамковото споразумение (закръглена до втори</w:t>
      </w:r>
      <w:r w:rsidR="00202CB1">
        <w:rPr>
          <w:rFonts w:ascii="Times New Roman" w:hAnsi="Times New Roman"/>
          <w:i/>
          <w:iCs/>
          <w:sz w:val="24"/>
          <w:szCs w:val="24"/>
        </w:rPr>
        <w:t xml:space="preserve"> знак след десетичната запетая).</w:t>
      </w:r>
    </w:p>
    <w:p w14:paraId="277FA6F6" w14:textId="068D23D1" w:rsidR="006037A4" w:rsidRDefault="00202CB1" w:rsidP="00202CB1">
      <w:pPr>
        <w:tabs>
          <w:tab w:val="left" w:pos="1134"/>
        </w:tabs>
        <w:spacing w:after="0"/>
        <w:jc w:val="both"/>
        <w:rPr>
          <w:rFonts w:ascii="Times New Roman" w:hAnsi="Times New Roman"/>
          <w:iCs/>
          <w:sz w:val="24"/>
          <w:szCs w:val="24"/>
        </w:rPr>
      </w:pPr>
      <w:r>
        <w:rPr>
          <w:rFonts w:ascii="Times New Roman" w:hAnsi="Times New Roman"/>
          <w:iCs/>
          <w:sz w:val="24"/>
          <w:szCs w:val="24"/>
        </w:rPr>
        <w:t xml:space="preserve">След определяне на коефициента </w:t>
      </w:r>
      <w:proofErr w:type="spellStart"/>
      <w:r w:rsidRPr="00202CB1">
        <w:rPr>
          <w:rFonts w:ascii="Times New Roman" w:hAnsi="Times New Roman"/>
          <w:iCs/>
          <w:sz w:val="24"/>
          <w:szCs w:val="24"/>
        </w:rPr>
        <w:t>Кn</w:t>
      </w:r>
      <w:proofErr w:type="spellEnd"/>
      <w:r>
        <w:rPr>
          <w:rFonts w:ascii="Times New Roman" w:hAnsi="Times New Roman"/>
          <w:iCs/>
          <w:sz w:val="24"/>
          <w:szCs w:val="24"/>
        </w:rPr>
        <w:t xml:space="preserve">, същият се прилага към стойността на приетите СМР за дадения период, като по този начин се изчислява размера на изменението на цената </w:t>
      </w:r>
      <w:r w:rsidRPr="00814977">
        <w:rPr>
          <w:rFonts w:ascii="Times New Roman" w:hAnsi="Times New Roman"/>
          <w:iCs/>
          <w:sz w:val="24"/>
          <w:szCs w:val="24"/>
        </w:rPr>
        <w:t>за извършени дейности</w:t>
      </w:r>
      <w:r w:rsidRPr="00202CB1">
        <w:rPr>
          <w:rFonts w:ascii="Times New Roman" w:hAnsi="Times New Roman"/>
          <w:bCs/>
          <w:iCs/>
          <w:sz w:val="24"/>
          <w:szCs w:val="24"/>
        </w:rPr>
        <w:t xml:space="preserve"> </w:t>
      </w:r>
      <w:r w:rsidRPr="00B64D42">
        <w:rPr>
          <w:rFonts w:ascii="Times New Roman" w:hAnsi="Times New Roman"/>
          <w:bCs/>
          <w:iCs/>
          <w:sz w:val="24"/>
          <w:szCs w:val="24"/>
        </w:rPr>
        <w:t>в резултат на инфлация</w:t>
      </w:r>
      <w:r>
        <w:rPr>
          <w:rFonts w:ascii="Times New Roman" w:hAnsi="Times New Roman"/>
          <w:bCs/>
          <w:iCs/>
          <w:sz w:val="24"/>
          <w:szCs w:val="24"/>
        </w:rPr>
        <w:t xml:space="preserve">. Размерът на изменението следва да се определи в допълнителен протокол и </w:t>
      </w:r>
      <w:r w:rsidR="00264C52">
        <w:rPr>
          <w:rFonts w:ascii="Times New Roman" w:hAnsi="Times New Roman"/>
          <w:bCs/>
          <w:iCs/>
          <w:sz w:val="24"/>
          <w:szCs w:val="24"/>
        </w:rPr>
        <w:t>за него да се издаде</w:t>
      </w:r>
      <w:r w:rsidR="00347DB8">
        <w:rPr>
          <w:rFonts w:ascii="Times New Roman" w:hAnsi="Times New Roman"/>
          <w:bCs/>
          <w:iCs/>
          <w:sz w:val="24"/>
          <w:szCs w:val="24"/>
        </w:rPr>
        <w:t xml:space="preserve"> </w:t>
      </w:r>
      <w:r w:rsidR="00264C52">
        <w:rPr>
          <w:rFonts w:ascii="Times New Roman" w:hAnsi="Times New Roman"/>
          <w:bCs/>
          <w:iCs/>
          <w:sz w:val="24"/>
          <w:szCs w:val="24"/>
        </w:rPr>
        <w:t>описаното по-горе дебитно известие</w:t>
      </w:r>
      <w:r>
        <w:rPr>
          <w:rFonts w:ascii="Times New Roman" w:hAnsi="Times New Roman"/>
          <w:iCs/>
          <w:sz w:val="24"/>
          <w:szCs w:val="24"/>
        </w:rPr>
        <w:t>, с цел искане за възстановяване на средства като БФП.</w:t>
      </w:r>
    </w:p>
    <w:p w14:paraId="3401B59C" w14:textId="2DE94193" w:rsidR="00A74B80" w:rsidRPr="00524460" w:rsidRDefault="00A74B80" w:rsidP="00202CB1">
      <w:pPr>
        <w:tabs>
          <w:tab w:val="left" w:pos="1134"/>
        </w:tabs>
        <w:spacing w:after="0"/>
        <w:jc w:val="both"/>
        <w:rPr>
          <w:rFonts w:ascii="Times New Roman" w:hAnsi="Times New Roman"/>
          <w:i/>
          <w:iCs/>
          <w:sz w:val="24"/>
          <w:szCs w:val="24"/>
        </w:rPr>
      </w:pPr>
    </w:p>
    <w:p w14:paraId="6735049B" w14:textId="77777777" w:rsidR="006037A4" w:rsidRPr="004F2A7D" w:rsidRDefault="004F2A7D" w:rsidP="0009185F">
      <w:pPr>
        <w:pStyle w:val="ListParagraph"/>
        <w:numPr>
          <w:ilvl w:val="0"/>
          <w:numId w:val="2"/>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При подаване на искане за плащане с включени разходи за възстановяване за изменение на цената </w:t>
      </w:r>
      <w:r w:rsidRPr="00814977">
        <w:rPr>
          <w:rFonts w:ascii="Times New Roman" w:hAnsi="Times New Roman"/>
          <w:iCs/>
          <w:sz w:val="24"/>
          <w:szCs w:val="24"/>
        </w:rPr>
        <w:t>за извършени дейности</w:t>
      </w:r>
      <w:r w:rsidRPr="00202CB1">
        <w:rPr>
          <w:rFonts w:ascii="Times New Roman" w:hAnsi="Times New Roman"/>
          <w:bCs/>
          <w:iCs/>
          <w:sz w:val="24"/>
          <w:szCs w:val="24"/>
        </w:rPr>
        <w:t xml:space="preserve"> </w:t>
      </w:r>
      <w:r w:rsidRPr="00B64D42">
        <w:rPr>
          <w:rFonts w:ascii="Times New Roman" w:hAnsi="Times New Roman"/>
          <w:bCs/>
          <w:iCs/>
          <w:sz w:val="24"/>
          <w:szCs w:val="24"/>
        </w:rPr>
        <w:t>в резултат на инфлация</w:t>
      </w:r>
      <w:r>
        <w:rPr>
          <w:rFonts w:ascii="Times New Roman" w:hAnsi="Times New Roman"/>
          <w:bCs/>
          <w:iCs/>
          <w:sz w:val="24"/>
          <w:szCs w:val="24"/>
        </w:rPr>
        <w:t>, бенефициентите следва да представят към необходимите задължителни документи и допълнително:</w:t>
      </w:r>
    </w:p>
    <w:p w14:paraId="77FE94F5" w14:textId="77777777" w:rsidR="004F2A7D" w:rsidRPr="004F2A7D" w:rsidRDefault="004F2A7D" w:rsidP="004F2A7D">
      <w:pPr>
        <w:pStyle w:val="ListParagraph"/>
        <w:numPr>
          <w:ilvl w:val="0"/>
          <w:numId w:val="3"/>
        </w:numPr>
        <w:tabs>
          <w:tab w:val="left" w:pos="1134"/>
        </w:tabs>
        <w:spacing w:after="0"/>
        <w:ind w:left="0" w:firstLine="1134"/>
        <w:jc w:val="both"/>
        <w:rPr>
          <w:rFonts w:ascii="Times New Roman" w:hAnsi="Times New Roman"/>
          <w:iCs/>
          <w:sz w:val="24"/>
          <w:szCs w:val="24"/>
        </w:rPr>
      </w:pPr>
      <w:r w:rsidRPr="004F2A7D">
        <w:rPr>
          <w:rFonts w:ascii="Times New Roman" w:hAnsi="Times New Roman"/>
          <w:bCs/>
          <w:iCs/>
          <w:sz w:val="24"/>
          <w:szCs w:val="24"/>
        </w:rPr>
        <w:t>Сключ</w:t>
      </w:r>
      <w:r>
        <w:rPr>
          <w:rFonts w:ascii="Times New Roman" w:hAnsi="Times New Roman"/>
          <w:bCs/>
          <w:iCs/>
          <w:sz w:val="24"/>
          <w:szCs w:val="24"/>
        </w:rPr>
        <w:t>е</w:t>
      </w:r>
      <w:r w:rsidRPr="004F2A7D">
        <w:rPr>
          <w:rFonts w:ascii="Times New Roman" w:hAnsi="Times New Roman"/>
          <w:bCs/>
          <w:iCs/>
          <w:sz w:val="24"/>
          <w:szCs w:val="24"/>
        </w:rPr>
        <w:t>н</w:t>
      </w:r>
      <w:r>
        <w:rPr>
          <w:rFonts w:ascii="Times New Roman" w:hAnsi="Times New Roman"/>
          <w:bCs/>
          <w:iCs/>
          <w:sz w:val="24"/>
          <w:szCs w:val="24"/>
        </w:rPr>
        <w:t>о</w:t>
      </w:r>
      <w:r w:rsidRPr="004F2A7D">
        <w:rPr>
          <w:rFonts w:ascii="Times New Roman" w:hAnsi="Times New Roman"/>
          <w:bCs/>
          <w:iCs/>
          <w:sz w:val="24"/>
          <w:szCs w:val="24"/>
        </w:rPr>
        <w:t>то допълнително споразумение към договорите с изпълнители по обществени поръчки за строителство</w:t>
      </w:r>
      <w:r>
        <w:rPr>
          <w:rFonts w:ascii="Times New Roman" w:hAnsi="Times New Roman"/>
          <w:bCs/>
          <w:iCs/>
          <w:sz w:val="24"/>
          <w:szCs w:val="24"/>
        </w:rPr>
        <w:t xml:space="preserve">. Обръщаме внимание, че </w:t>
      </w:r>
      <w:r w:rsidRPr="00413D6F">
        <w:rPr>
          <w:rFonts w:ascii="Times New Roman" w:hAnsi="Times New Roman"/>
          <w:b/>
          <w:bCs/>
          <w:iCs/>
          <w:sz w:val="24"/>
          <w:szCs w:val="24"/>
        </w:rPr>
        <w:t>при договори за инженеринг на индексация подлежат единствено разходите за СМР</w:t>
      </w:r>
      <w:r>
        <w:rPr>
          <w:rFonts w:ascii="Times New Roman" w:hAnsi="Times New Roman"/>
          <w:bCs/>
          <w:iCs/>
          <w:sz w:val="24"/>
          <w:szCs w:val="24"/>
        </w:rPr>
        <w:t>.</w:t>
      </w:r>
      <w:r w:rsidR="00885906">
        <w:rPr>
          <w:rFonts w:ascii="Times New Roman" w:hAnsi="Times New Roman"/>
          <w:bCs/>
          <w:iCs/>
          <w:sz w:val="24"/>
          <w:szCs w:val="24"/>
        </w:rPr>
        <w:t xml:space="preserve"> На допълнителното споразумение ще бъде извършен предварителен контрол преди верификация от страна на УО на ОПРР относно законосъобразното изменение на договора с изпълнител.</w:t>
      </w:r>
    </w:p>
    <w:p w14:paraId="7CA5755C" w14:textId="77777777" w:rsidR="00885906" w:rsidRDefault="00885906" w:rsidP="00885906">
      <w:pPr>
        <w:pStyle w:val="ListParagraph"/>
        <w:numPr>
          <w:ilvl w:val="0"/>
          <w:numId w:val="3"/>
        </w:numPr>
        <w:tabs>
          <w:tab w:val="left" w:pos="1134"/>
        </w:tabs>
        <w:spacing w:after="0"/>
        <w:ind w:left="0" w:firstLine="1134"/>
        <w:jc w:val="both"/>
        <w:rPr>
          <w:rFonts w:ascii="Times New Roman" w:hAnsi="Times New Roman"/>
          <w:iCs/>
          <w:sz w:val="24"/>
          <w:szCs w:val="24"/>
        </w:rPr>
      </w:pPr>
      <w:r w:rsidRPr="00885906">
        <w:rPr>
          <w:rFonts w:ascii="Times New Roman" w:hAnsi="Times New Roman"/>
          <w:iCs/>
          <w:sz w:val="24"/>
          <w:szCs w:val="24"/>
        </w:rPr>
        <w:t>Доказателства за датата на подаване на офертата на изпълнителя по договора за обществена поръчка</w:t>
      </w:r>
      <w:r>
        <w:rPr>
          <w:rFonts w:ascii="Times New Roman" w:hAnsi="Times New Roman"/>
          <w:iCs/>
          <w:sz w:val="24"/>
          <w:szCs w:val="24"/>
        </w:rPr>
        <w:t>;</w:t>
      </w:r>
    </w:p>
    <w:p w14:paraId="72943C16" w14:textId="77777777" w:rsidR="00885906" w:rsidRDefault="004F2A7D" w:rsidP="00410DB2">
      <w:pPr>
        <w:pStyle w:val="ListParagraph"/>
        <w:numPr>
          <w:ilvl w:val="0"/>
          <w:numId w:val="3"/>
        </w:numPr>
        <w:tabs>
          <w:tab w:val="left" w:pos="1134"/>
        </w:tabs>
        <w:spacing w:after="0"/>
        <w:ind w:left="0" w:firstLine="1134"/>
        <w:jc w:val="both"/>
        <w:rPr>
          <w:rFonts w:ascii="Times New Roman" w:hAnsi="Times New Roman"/>
          <w:iCs/>
          <w:sz w:val="24"/>
          <w:szCs w:val="24"/>
        </w:rPr>
      </w:pPr>
      <w:r w:rsidRPr="004F2A7D">
        <w:rPr>
          <w:rFonts w:ascii="Times New Roman" w:hAnsi="Times New Roman"/>
          <w:iCs/>
          <w:sz w:val="24"/>
          <w:szCs w:val="24"/>
        </w:rPr>
        <w:t>Допълнителен протокол (в свободен текст</w:t>
      </w:r>
      <w:r>
        <w:rPr>
          <w:rFonts w:ascii="Times New Roman" w:hAnsi="Times New Roman"/>
          <w:iCs/>
          <w:sz w:val="24"/>
          <w:szCs w:val="24"/>
        </w:rPr>
        <w:t xml:space="preserve">) към съответния </w:t>
      </w:r>
      <w:r w:rsidRPr="00E920C6">
        <w:rPr>
          <w:rFonts w:ascii="Times New Roman" w:hAnsi="Times New Roman"/>
          <w:iCs/>
          <w:sz w:val="24"/>
          <w:szCs w:val="24"/>
        </w:rPr>
        <w:t>Протокол за приемане на извършени СМР</w:t>
      </w:r>
      <w:r>
        <w:rPr>
          <w:rFonts w:ascii="Times New Roman" w:hAnsi="Times New Roman"/>
          <w:iCs/>
          <w:sz w:val="24"/>
          <w:szCs w:val="24"/>
        </w:rPr>
        <w:t>,</w:t>
      </w:r>
      <w:r w:rsidRPr="004F2A7D">
        <w:rPr>
          <w:rFonts w:ascii="Times New Roman" w:hAnsi="Times New Roman"/>
          <w:iCs/>
          <w:sz w:val="24"/>
          <w:szCs w:val="24"/>
        </w:rPr>
        <w:t xml:space="preserve"> подпи</w:t>
      </w:r>
      <w:r>
        <w:rPr>
          <w:rFonts w:ascii="Times New Roman" w:hAnsi="Times New Roman"/>
          <w:iCs/>
          <w:sz w:val="24"/>
          <w:szCs w:val="24"/>
        </w:rPr>
        <w:t>сан</w:t>
      </w:r>
      <w:r w:rsidRPr="004F2A7D">
        <w:rPr>
          <w:rFonts w:ascii="Times New Roman" w:hAnsi="Times New Roman"/>
          <w:iCs/>
          <w:sz w:val="24"/>
          <w:szCs w:val="24"/>
        </w:rPr>
        <w:t xml:space="preserve"> между възложителя и изпълнителя</w:t>
      </w:r>
      <w:r>
        <w:rPr>
          <w:rFonts w:ascii="Times New Roman" w:hAnsi="Times New Roman"/>
          <w:iCs/>
          <w:sz w:val="24"/>
          <w:szCs w:val="24"/>
        </w:rPr>
        <w:t xml:space="preserve"> </w:t>
      </w:r>
      <w:r w:rsidRPr="004F2A7D">
        <w:rPr>
          <w:rFonts w:ascii="Times New Roman" w:hAnsi="Times New Roman"/>
          <w:iCs/>
          <w:sz w:val="24"/>
          <w:szCs w:val="24"/>
        </w:rPr>
        <w:t>след публикуване на индекса за дадено тримесечие</w:t>
      </w:r>
      <w:r w:rsidR="00885906">
        <w:rPr>
          <w:rFonts w:ascii="Times New Roman" w:hAnsi="Times New Roman"/>
          <w:iCs/>
          <w:sz w:val="24"/>
          <w:szCs w:val="24"/>
        </w:rPr>
        <w:t>.</w:t>
      </w:r>
    </w:p>
    <w:p w14:paraId="3BD206F6" w14:textId="77777777" w:rsidR="00885906" w:rsidRDefault="00885906" w:rsidP="00410DB2">
      <w:pPr>
        <w:pStyle w:val="ListParagraph"/>
        <w:numPr>
          <w:ilvl w:val="0"/>
          <w:numId w:val="3"/>
        </w:numPr>
        <w:tabs>
          <w:tab w:val="left" w:pos="1134"/>
        </w:tabs>
        <w:spacing w:after="0"/>
        <w:ind w:left="0" w:firstLine="1134"/>
        <w:jc w:val="both"/>
        <w:rPr>
          <w:rFonts w:ascii="Times New Roman" w:hAnsi="Times New Roman"/>
          <w:iCs/>
          <w:sz w:val="24"/>
          <w:szCs w:val="24"/>
        </w:rPr>
      </w:pPr>
      <w:r w:rsidRPr="00885906">
        <w:rPr>
          <w:rFonts w:ascii="Times New Roman" w:hAnsi="Times New Roman"/>
          <w:iCs/>
          <w:sz w:val="24"/>
          <w:szCs w:val="24"/>
        </w:rPr>
        <w:t>Приложение „Прилагане на Методика за изменение на цената на договор за обществена поръчка при инфлация</w:t>
      </w:r>
      <w:r>
        <w:rPr>
          <w:rFonts w:ascii="Times New Roman" w:hAnsi="Times New Roman"/>
          <w:iCs/>
          <w:sz w:val="24"/>
          <w:szCs w:val="24"/>
        </w:rPr>
        <w:t>“, което е неразделна част към настоящите указания.</w:t>
      </w:r>
    </w:p>
    <w:p w14:paraId="12FFE883" w14:textId="4B66FBAB" w:rsidR="001149F0" w:rsidRPr="00410DB2" w:rsidRDefault="00B913F4" w:rsidP="00410DB2">
      <w:pPr>
        <w:pStyle w:val="ListParagraph"/>
        <w:numPr>
          <w:ilvl w:val="0"/>
          <w:numId w:val="3"/>
        </w:numPr>
        <w:tabs>
          <w:tab w:val="left" w:pos="1134"/>
        </w:tabs>
        <w:spacing w:after="0"/>
        <w:ind w:left="0" w:firstLine="1134"/>
        <w:jc w:val="both"/>
        <w:rPr>
          <w:rFonts w:ascii="Times New Roman" w:hAnsi="Times New Roman"/>
          <w:iCs/>
          <w:sz w:val="24"/>
          <w:szCs w:val="24"/>
        </w:rPr>
      </w:pPr>
      <w:r>
        <w:rPr>
          <w:rFonts w:ascii="Times New Roman" w:hAnsi="Times New Roman"/>
          <w:iCs/>
          <w:sz w:val="24"/>
          <w:szCs w:val="24"/>
        </w:rPr>
        <w:t>Дебитно известие към издадената фактура</w:t>
      </w:r>
      <w:r w:rsidR="00885906">
        <w:rPr>
          <w:rFonts w:ascii="Times New Roman" w:hAnsi="Times New Roman"/>
          <w:iCs/>
          <w:sz w:val="24"/>
          <w:szCs w:val="24"/>
        </w:rPr>
        <w:t xml:space="preserve"> по </w:t>
      </w:r>
      <w:r w:rsidR="00885906" w:rsidRPr="00E920C6">
        <w:rPr>
          <w:rFonts w:ascii="Times New Roman" w:hAnsi="Times New Roman"/>
          <w:iCs/>
          <w:sz w:val="24"/>
          <w:szCs w:val="24"/>
        </w:rPr>
        <w:t>Протокол</w:t>
      </w:r>
      <w:r w:rsidR="00885906">
        <w:rPr>
          <w:rFonts w:ascii="Times New Roman" w:hAnsi="Times New Roman"/>
          <w:iCs/>
          <w:sz w:val="24"/>
          <w:szCs w:val="24"/>
        </w:rPr>
        <w:t>а</w:t>
      </w:r>
      <w:r w:rsidR="00885906" w:rsidRPr="00E920C6">
        <w:rPr>
          <w:rFonts w:ascii="Times New Roman" w:hAnsi="Times New Roman"/>
          <w:iCs/>
          <w:sz w:val="24"/>
          <w:szCs w:val="24"/>
        </w:rPr>
        <w:t xml:space="preserve"> за приемане на извършени СМР</w:t>
      </w:r>
      <w:r>
        <w:rPr>
          <w:rFonts w:ascii="Times New Roman" w:hAnsi="Times New Roman"/>
          <w:iCs/>
          <w:sz w:val="24"/>
          <w:szCs w:val="24"/>
        </w:rPr>
        <w:t>, платежно нареждане</w:t>
      </w:r>
      <w:r w:rsidR="00347DB8">
        <w:rPr>
          <w:rFonts w:ascii="Times New Roman" w:hAnsi="Times New Roman"/>
          <w:iCs/>
          <w:sz w:val="24"/>
          <w:szCs w:val="24"/>
        </w:rPr>
        <w:t xml:space="preserve">, банково извлечение, извлечение от счетоводната система, както и </w:t>
      </w:r>
      <w:r w:rsidR="00347DB8" w:rsidRPr="00347DB8">
        <w:rPr>
          <w:rFonts w:ascii="Times New Roman" w:hAnsi="Times New Roman"/>
          <w:iCs/>
          <w:sz w:val="24"/>
          <w:szCs w:val="24"/>
        </w:rPr>
        <w:t>Дневник на покупките, придружен от справка-декларация и протокол/уведомление за приемане на декларации и дневници по ЗДДС</w:t>
      </w:r>
      <w:r w:rsidR="00347DB8">
        <w:rPr>
          <w:rFonts w:ascii="Times New Roman" w:hAnsi="Times New Roman"/>
          <w:iCs/>
          <w:sz w:val="24"/>
          <w:szCs w:val="24"/>
        </w:rPr>
        <w:t xml:space="preserve"> и всички </w:t>
      </w:r>
      <w:r w:rsidR="008F3B63">
        <w:rPr>
          <w:rFonts w:ascii="Times New Roman" w:hAnsi="Times New Roman"/>
          <w:iCs/>
          <w:sz w:val="24"/>
          <w:szCs w:val="24"/>
        </w:rPr>
        <w:lastRenderedPageBreak/>
        <w:t>приложими</w:t>
      </w:r>
      <w:r w:rsidR="00347DB8">
        <w:rPr>
          <w:rFonts w:ascii="Times New Roman" w:hAnsi="Times New Roman"/>
          <w:iCs/>
          <w:sz w:val="24"/>
          <w:szCs w:val="24"/>
        </w:rPr>
        <w:t xml:space="preserve"> документи, съгласно </w:t>
      </w:r>
      <w:r w:rsidR="00347DB8" w:rsidRPr="00347DB8">
        <w:rPr>
          <w:rFonts w:ascii="Times New Roman" w:hAnsi="Times New Roman"/>
          <w:iCs/>
          <w:sz w:val="24"/>
          <w:szCs w:val="24"/>
        </w:rPr>
        <w:t>Методическите указания за изпълнение на договори за предоставяне на безвъзмездна финансова помощ по Оперативна програма „Региони в растеж“ 2014- 2020 г.</w:t>
      </w:r>
      <w:r w:rsidR="00885906">
        <w:rPr>
          <w:rFonts w:ascii="Times New Roman" w:hAnsi="Times New Roman"/>
          <w:iCs/>
          <w:sz w:val="24"/>
          <w:szCs w:val="24"/>
        </w:rPr>
        <w:t xml:space="preserve"> </w:t>
      </w:r>
    </w:p>
    <w:p w14:paraId="7284DD52" w14:textId="18B572F2" w:rsidR="007B27F6" w:rsidRPr="00410DB2" w:rsidRDefault="007B27F6" w:rsidP="00B65707">
      <w:pPr>
        <w:spacing w:after="0" w:line="240" w:lineRule="auto"/>
        <w:ind w:firstLine="708"/>
        <w:jc w:val="both"/>
        <w:rPr>
          <w:rFonts w:ascii="Times New Roman" w:hAnsi="Times New Roman" w:cs="Times New Roman"/>
          <w:b/>
          <w:bCs/>
          <w:sz w:val="24"/>
          <w:szCs w:val="24"/>
        </w:rPr>
      </w:pPr>
      <w:r w:rsidRPr="00410DB2">
        <w:rPr>
          <w:rFonts w:ascii="Times New Roman" w:hAnsi="Times New Roman"/>
          <w:iCs/>
          <w:sz w:val="24"/>
          <w:szCs w:val="24"/>
        </w:rPr>
        <w:t xml:space="preserve">Максималният размер на разходите, с който може да се увеличи стойността на </w:t>
      </w:r>
      <w:r w:rsidR="009E2D28">
        <w:rPr>
          <w:rFonts w:ascii="Times New Roman" w:hAnsi="Times New Roman"/>
          <w:iCs/>
          <w:sz w:val="24"/>
          <w:szCs w:val="24"/>
        </w:rPr>
        <w:t>СМР</w:t>
      </w:r>
      <w:r w:rsidRPr="00410DB2">
        <w:rPr>
          <w:rFonts w:ascii="Times New Roman" w:hAnsi="Times New Roman"/>
          <w:iCs/>
          <w:sz w:val="24"/>
          <w:szCs w:val="24"/>
        </w:rPr>
        <w:t xml:space="preserve"> следва да бъде изчислен въз основа на формулата за индексация в Методиката, като същите могат да бъдат поискани за възстановяване като БФП до размера на заложените допълнителни средства съгласно сключения анекс към АДБФП.</w:t>
      </w:r>
    </w:p>
    <w:p w14:paraId="5DB43326" w14:textId="77777777" w:rsidR="00885906" w:rsidRPr="003A5D33" w:rsidRDefault="00885906" w:rsidP="00410DB2">
      <w:pPr>
        <w:pStyle w:val="ListParagraph"/>
        <w:tabs>
          <w:tab w:val="left" w:pos="1134"/>
        </w:tabs>
        <w:spacing w:after="0"/>
        <w:ind w:left="709"/>
        <w:jc w:val="both"/>
        <w:rPr>
          <w:rFonts w:ascii="Times New Roman" w:hAnsi="Times New Roman"/>
          <w:iCs/>
          <w:sz w:val="24"/>
          <w:szCs w:val="24"/>
        </w:rPr>
      </w:pPr>
    </w:p>
    <w:p w14:paraId="5CA0FEDA" w14:textId="60475932" w:rsidR="004C0BDD" w:rsidRPr="004C0BDD" w:rsidRDefault="00885906" w:rsidP="00F81455">
      <w:pPr>
        <w:pStyle w:val="ListParagraph"/>
        <w:spacing w:after="0"/>
        <w:ind w:left="0" w:firstLine="709"/>
        <w:jc w:val="both"/>
        <w:rPr>
          <w:rFonts w:ascii="Times New Roman" w:hAnsi="Times New Roman"/>
          <w:iCs/>
          <w:sz w:val="24"/>
          <w:szCs w:val="24"/>
        </w:rPr>
      </w:pPr>
      <w:r>
        <w:rPr>
          <w:rFonts w:ascii="Times New Roman" w:hAnsi="Times New Roman"/>
          <w:iCs/>
          <w:sz w:val="24"/>
          <w:szCs w:val="24"/>
        </w:rPr>
        <w:t>Следва да се има предвид, че УО на ОПРР ще извърши проверка относно спазване на настоящите указания и ще верифицира единствено разходите, отговарящи на посочените по-горе условия.</w:t>
      </w:r>
    </w:p>
    <w:sectPr w:rsidR="004C0BDD" w:rsidRPr="004C0BDD" w:rsidSect="00B64D42">
      <w:head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81C85" w14:textId="77777777" w:rsidR="00A56E6C" w:rsidRDefault="00A56E6C" w:rsidP="007C17C1">
      <w:pPr>
        <w:spacing w:after="0" w:line="240" w:lineRule="auto"/>
      </w:pPr>
      <w:r>
        <w:separator/>
      </w:r>
    </w:p>
  </w:endnote>
  <w:endnote w:type="continuationSeparator" w:id="0">
    <w:p w14:paraId="617D045A" w14:textId="77777777" w:rsidR="00A56E6C" w:rsidRDefault="00A56E6C" w:rsidP="007C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B714E" w14:textId="77777777" w:rsidR="00A56E6C" w:rsidRDefault="00A56E6C" w:rsidP="007C17C1">
      <w:pPr>
        <w:spacing w:after="0" w:line="240" w:lineRule="auto"/>
      </w:pPr>
      <w:r>
        <w:separator/>
      </w:r>
    </w:p>
  </w:footnote>
  <w:footnote w:type="continuationSeparator" w:id="0">
    <w:p w14:paraId="19561C78" w14:textId="77777777" w:rsidR="00A56E6C" w:rsidRDefault="00A56E6C" w:rsidP="007C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CD48" w14:textId="77777777" w:rsidR="007C17C1" w:rsidRDefault="007C17C1" w:rsidP="007C17C1">
    <w:pPr>
      <w:pStyle w:val="Header"/>
      <w:pBdr>
        <w:bottom w:val="single" w:sz="6" w:space="1" w:color="auto"/>
      </w:pBdr>
      <w:rPr>
        <w:lang w:val="en-US"/>
      </w:rPr>
    </w:pPr>
    <w:r>
      <w:rPr>
        <w:noProof/>
        <w:lang w:eastAsia="bg-BG"/>
      </w:rPr>
      <w:drawing>
        <wp:inline distT="0" distB="0" distL="0" distR="0" wp14:anchorId="69D84438" wp14:editId="28BE0823">
          <wp:extent cx="2208530" cy="7677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r>
      <w:ptab w:relativeTo="margin" w:alignment="center" w:leader="none"/>
    </w:r>
    <w:r>
      <w:rPr>
        <w:noProof/>
        <w:lang w:eastAsia="bg-BG"/>
      </w:rPr>
      <w:drawing>
        <wp:inline distT="0" distB="0" distL="0" distR="0" wp14:anchorId="1D4B00DB" wp14:editId="616C98BD">
          <wp:extent cx="742950" cy="752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inline>
      </w:drawing>
    </w:r>
    <w:r>
      <w:ptab w:relativeTo="margin" w:alignment="right" w:leader="none"/>
    </w:r>
    <w:r>
      <w:rPr>
        <w:noProof/>
        <w:lang w:eastAsia="bg-BG"/>
      </w:rPr>
      <w:drawing>
        <wp:inline distT="0" distB="0" distL="0" distR="0" wp14:anchorId="1E2C79EE" wp14:editId="2B4E6F30">
          <wp:extent cx="1941195" cy="67310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p w14:paraId="62232948" w14:textId="77777777" w:rsidR="007C17C1" w:rsidRDefault="007C1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10F7"/>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C5DD3"/>
    <w:multiLevelType w:val="hybridMultilevel"/>
    <w:tmpl w:val="6ED0AF68"/>
    <w:lvl w:ilvl="0" w:tplc="F7B8E7F6">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1FDA3747"/>
    <w:multiLevelType w:val="hybridMultilevel"/>
    <w:tmpl w:val="AF2CAF66"/>
    <w:lvl w:ilvl="0" w:tplc="76FC40A6">
      <w:start w:val="1"/>
      <w:numFmt w:val="bullet"/>
      <w:lvlText w:val="-"/>
      <w:lvlJc w:val="left"/>
      <w:pPr>
        <w:ind w:left="2148" w:hanging="360"/>
      </w:pPr>
      <w:rPr>
        <w:rFonts w:ascii="Garamond" w:eastAsia="Times New Roman" w:hAnsi="Garamond" w:cs="Times New Roman"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3" w15:restartNumberingAfterBreak="0">
    <w:nsid w:val="22DD2689"/>
    <w:multiLevelType w:val="hybridMultilevel"/>
    <w:tmpl w:val="CDDABBC4"/>
    <w:lvl w:ilvl="0" w:tplc="18A4A732">
      <w:numFmt w:val="bullet"/>
      <w:lvlText w:val="-"/>
      <w:lvlJc w:val="left"/>
      <w:pPr>
        <w:ind w:left="1211" w:hanging="360"/>
      </w:pPr>
      <w:rPr>
        <w:rFonts w:ascii="Times New Roman" w:eastAsiaTheme="minorEastAsia"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 w15:restartNumberingAfterBreak="0">
    <w:nsid w:val="26CD3075"/>
    <w:multiLevelType w:val="hybridMultilevel"/>
    <w:tmpl w:val="4176D1CA"/>
    <w:lvl w:ilvl="0" w:tplc="0AC8F066">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28B01A27"/>
    <w:multiLevelType w:val="multilevel"/>
    <w:tmpl w:val="0DB42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732239"/>
    <w:multiLevelType w:val="hybridMultilevel"/>
    <w:tmpl w:val="FA146542"/>
    <w:lvl w:ilvl="0" w:tplc="04020013">
      <w:start w:val="1"/>
      <w:numFmt w:val="upperRoman"/>
      <w:lvlText w:val="%1."/>
      <w:lvlJc w:val="righ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6DE10F73"/>
    <w:multiLevelType w:val="hybridMultilevel"/>
    <w:tmpl w:val="F9AAAF56"/>
    <w:lvl w:ilvl="0" w:tplc="484A91C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7"/>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C1"/>
    <w:rsid w:val="000400B0"/>
    <w:rsid w:val="00082DD9"/>
    <w:rsid w:val="0009185F"/>
    <w:rsid w:val="000C6B83"/>
    <w:rsid w:val="000D16BB"/>
    <w:rsid w:val="000F2129"/>
    <w:rsid w:val="0010696F"/>
    <w:rsid w:val="001149F0"/>
    <w:rsid w:val="00114D3B"/>
    <w:rsid w:val="00146966"/>
    <w:rsid w:val="00180A2C"/>
    <w:rsid w:val="00194102"/>
    <w:rsid w:val="001A2BAA"/>
    <w:rsid w:val="001D02F7"/>
    <w:rsid w:val="001D4764"/>
    <w:rsid w:val="001F6D7A"/>
    <w:rsid w:val="00202CB1"/>
    <w:rsid w:val="002132D6"/>
    <w:rsid w:val="00251901"/>
    <w:rsid w:val="0025521E"/>
    <w:rsid w:val="00264C52"/>
    <w:rsid w:val="0028573B"/>
    <w:rsid w:val="002A1C34"/>
    <w:rsid w:val="002A23AF"/>
    <w:rsid w:val="002A6322"/>
    <w:rsid w:val="002D3D01"/>
    <w:rsid w:val="002D5F4D"/>
    <w:rsid w:val="002D5F9B"/>
    <w:rsid w:val="002D7217"/>
    <w:rsid w:val="002F379E"/>
    <w:rsid w:val="00312451"/>
    <w:rsid w:val="00340718"/>
    <w:rsid w:val="00347DB8"/>
    <w:rsid w:val="00376A18"/>
    <w:rsid w:val="00392C1C"/>
    <w:rsid w:val="003A3405"/>
    <w:rsid w:val="003A5D33"/>
    <w:rsid w:val="003C6771"/>
    <w:rsid w:val="00403EC0"/>
    <w:rsid w:val="00410DB2"/>
    <w:rsid w:val="00413D6F"/>
    <w:rsid w:val="0043067A"/>
    <w:rsid w:val="00457209"/>
    <w:rsid w:val="004828AE"/>
    <w:rsid w:val="00486E8F"/>
    <w:rsid w:val="004C0BDD"/>
    <w:rsid w:val="004F2505"/>
    <w:rsid w:val="004F2A7D"/>
    <w:rsid w:val="00501082"/>
    <w:rsid w:val="005069F4"/>
    <w:rsid w:val="00517C48"/>
    <w:rsid w:val="0052315C"/>
    <w:rsid w:val="00524460"/>
    <w:rsid w:val="00544C6D"/>
    <w:rsid w:val="00556643"/>
    <w:rsid w:val="00566B78"/>
    <w:rsid w:val="00572B35"/>
    <w:rsid w:val="0058583B"/>
    <w:rsid w:val="005A3A6C"/>
    <w:rsid w:val="005B19E6"/>
    <w:rsid w:val="005D7DAA"/>
    <w:rsid w:val="006037A4"/>
    <w:rsid w:val="00603DC2"/>
    <w:rsid w:val="00634415"/>
    <w:rsid w:val="006843A6"/>
    <w:rsid w:val="006E0A91"/>
    <w:rsid w:val="006F0C5F"/>
    <w:rsid w:val="006F443A"/>
    <w:rsid w:val="00707E16"/>
    <w:rsid w:val="00763471"/>
    <w:rsid w:val="00796F46"/>
    <w:rsid w:val="007A3D75"/>
    <w:rsid w:val="007B27F6"/>
    <w:rsid w:val="007C17C1"/>
    <w:rsid w:val="007D262E"/>
    <w:rsid w:val="007F7758"/>
    <w:rsid w:val="00814977"/>
    <w:rsid w:val="008246BC"/>
    <w:rsid w:val="008553F9"/>
    <w:rsid w:val="008765E5"/>
    <w:rsid w:val="00885906"/>
    <w:rsid w:val="0089463E"/>
    <w:rsid w:val="008F14CF"/>
    <w:rsid w:val="008F3B63"/>
    <w:rsid w:val="009423AB"/>
    <w:rsid w:val="00942783"/>
    <w:rsid w:val="00964F72"/>
    <w:rsid w:val="009A57F3"/>
    <w:rsid w:val="009A7500"/>
    <w:rsid w:val="009B45FA"/>
    <w:rsid w:val="009C51A4"/>
    <w:rsid w:val="009D3D14"/>
    <w:rsid w:val="009E2D28"/>
    <w:rsid w:val="009F71A0"/>
    <w:rsid w:val="00A56E6C"/>
    <w:rsid w:val="00A6261E"/>
    <w:rsid w:val="00A63B55"/>
    <w:rsid w:val="00A74B80"/>
    <w:rsid w:val="00A75E55"/>
    <w:rsid w:val="00A85F58"/>
    <w:rsid w:val="00A865DE"/>
    <w:rsid w:val="00A94440"/>
    <w:rsid w:val="00AB1C02"/>
    <w:rsid w:val="00AF50D7"/>
    <w:rsid w:val="00B129A9"/>
    <w:rsid w:val="00B24FDE"/>
    <w:rsid w:val="00B30ACF"/>
    <w:rsid w:val="00B3124C"/>
    <w:rsid w:val="00B3156F"/>
    <w:rsid w:val="00B55383"/>
    <w:rsid w:val="00B64D42"/>
    <w:rsid w:val="00B65707"/>
    <w:rsid w:val="00B65D4D"/>
    <w:rsid w:val="00B72D36"/>
    <w:rsid w:val="00B913F4"/>
    <w:rsid w:val="00B929A9"/>
    <w:rsid w:val="00BC6550"/>
    <w:rsid w:val="00BF0C73"/>
    <w:rsid w:val="00C11B9A"/>
    <w:rsid w:val="00C139BA"/>
    <w:rsid w:val="00C13CFE"/>
    <w:rsid w:val="00C21E61"/>
    <w:rsid w:val="00C43DA9"/>
    <w:rsid w:val="00C46393"/>
    <w:rsid w:val="00C51F60"/>
    <w:rsid w:val="00C66643"/>
    <w:rsid w:val="00C73B40"/>
    <w:rsid w:val="00CC63E0"/>
    <w:rsid w:val="00CF27B9"/>
    <w:rsid w:val="00D052B0"/>
    <w:rsid w:val="00D05C6D"/>
    <w:rsid w:val="00D654A2"/>
    <w:rsid w:val="00D93072"/>
    <w:rsid w:val="00DA04B7"/>
    <w:rsid w:val="00DA4F9D"/>
    <w:rsid w:val="00DB1EEB"/>
    <w:rsid w:val="00DC24F1"/>
    <w:rsid w:val="00DD10CF"/>
    <w:rsid w:val="00DE2BEA"/>
    <w:rsid w:val="00E232B8"/>
    <w:rsid w:val="00E920C6"/>
    <w:rsid w:val="00ED1AEA"/>
    <w:rsid w:val="00EE29FC"/>
    <w:rsid w:val="00F641FD"/>
    <w:rsid w:val="00F81455"/>
    <w:rsid w:val="00FE4E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421A"/>
  <w15:chartTrackingRefBased/>
  <w15:docId w15:val="{DC3511D4-42D1-41B0-835E-C0983468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bg-BG"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C1"/>
  </w:style>
  <w:style w:type="paragraph" w:styleId="Heading1">
    <w:name w:val="heading 1"/>
    <w:basedOn w:val="Normal"/>
    <w:next w:val="Normal"/>
    <w:link w:val="Heading1Char"/>
    <w:uiPriority w:val="9"/>
    <w:qFormat/>
    <w:rsid w:val="007C17C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7C17C1"/>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7C17C1"/>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7C17C1"/>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C17C1"/>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7C17C1"/>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C17C1"/>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7C17C1"/>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7C17C1"/>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C1"/>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7C17C1"/>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7C17C1"/>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7C17C1"/>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C17C1"/>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7C17C1"/>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7C17C1"/>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7C17C1"/>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7C17C1"/>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7C17C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C17C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C17C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C17C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C17C1"/>
    <w:rPr>
      <w:caps/>
      <w:color w:val="404040" w:themeColor="text1" w:themeTint="BF"/>
      <w:spacing w:val="20"/>
      <w:sz w:val="28"/>
      <w:szCs w:val="28"/>
    </w:rPr>
  </w:style>
  <w:style w:type="character" w:styleId="Strong">
    <w:name w:val="Strong"/>
    <w:basedOn w:val="DefaultParagraphFont"/>
    <w:uiPriority w:val="22"/>
    <w:qFormat/>
    <w:rsid w:val="007C17C1"/>
    <w:rPr>
      <w:b/>
      <w:bCs/>
    </w:rPr>
  </w:style>
  <w:style w:type="character" w:styleId="Emphasis">
    <w:name w:val="Emphasis"/>
    <w:basedOn w:val="DefaultParagraphFont"/>
    <w:uiPriority w:val="20"/>
    <w:qFormat/>
    <w:rsid w:val="007C17C1"/>
    <w:rPr>
      <w:i/>
      <w:iCs/>
      <w:color w:val="000000" w:themeColor="text1"/>
    </w:rPr>
  </w:style>
  <w:style w:type="paragraph" w:styleId="NoSpacing">
    <w:name w:val="No Spacing"/>
    <w:uiPriority w:val="1"/>
    <w:qFormat/>
    <w:rsid w:val="007C17C1"/>
    <w:pPr>
      <w:spacing w:after="0" w:line="240" w:lineRule="auto"/>
    </w:pPr>
  </w:style>
  <w:style w:type="paragraph" w:styleId="Quote">
    <w:name w:val="Quote"/>
    <w:basedOn w:val="Normal"/>
    <w:next w:val="Normal"/>
    <w:link w:val="QuoteChar"/>
    <w:uiPriority w:val="29"/>
    <w:qFormat/>
    <w:rsid w:val="007C17C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C17C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C17C1"/>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C17C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C17C1"/>
    <w:rPr>
      <w:i/>
      <w:iCs/>
      <w:color w:val="595959" w:themeColor="text1" w:themeTint="A6"/>
    </w:rPr>
  </w:style>
  <w:style w:type="character" w:styleId="IntenseEmphasis">
    <w:name w:val="Intense Emphasis"/>
    <w:basedOn w:val="DefaultParagraphFont"/>
    <w:uiPriority w:val="21"/>
    <w:qFormat/>
    <w:rsid w:val="007C17C1"/>
    <w:rPr>
      <w:b/>
      <w:bCs/>
      <w:i/>
      <w:iCs/>
      <w:caps w:val="0"/>
      <w:smallCaps w:val="0"/>
      <w:strike w:val="0"/>
      <w:dstrike w:val="0"/>
      <w:color w:val="ED7D31" w:themeColor="accent2"/>
    </w:rPr>
  </w:style>
  <w:style w:type="character" w:styleId="SubtleReference">
    <w:name w:val="Subtle Reference"/>
    <w:basedOn w:val="DefaultParagraphFont"/>
    <w:uiPriority w:val="31"/>
    <w:qFormat/>
    <w:rsid w:val="007C17C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C17C1"/>
    <w:rPr>
      <w:b/>
      <w:bCs/>
      <w:caps w:val="0"/>
      <w:smallCaps/>
      <w:color w:val="auto"/>
      <w:spacing w:val="0"/>
      <w:u w:val="single"/>
    </w:rPr>
  </w:style>
  <w:style w:type="character" w:styleId="BookTitle">
    <w:name w:val="Book Title"/>
    <w:basedOn w:val="DefaultParagraphFont"/>
    <w:uiPriority w:val="33"/>
    <w:qFormat/>
    <w:rsid w:val="007C17C1"/>
    <w:rPr>
      <w:b/>
      <w:bCs/>
      <w:caps w:val="0"/>
      <w:smallCaps/>
      <w:spacing w:val="0"/>
    </w:rPr>
  </w:style>
  <w:style w:type="paragraph" w:styleId="TOCHeading">
    <w:name w:val="TOC Heading"/>
    <w:basedOn w:val="Heading1"/>
    <w:next w:val="Normal"/>
    <w:uiPriority w:val="39"/>
    <w:semiHidden/>
    <w:unhideWhenUsed/>
    <w:qFormat/>
    <w:rsid w:val="007C17C1"/>
    <w:pPr>
      <w:outlineLvl w:val="9"/>
    </w:pPr>
  </w:style>
  <w:style w:type="paragraph" w:styleId="Header">
    <w:name w:val="header"/>
    <w:basedOn w:val="Normal"/>
    <w:link w:val="HeaderChar"/>
    <w:uiPriority w:val="99"/>
    <w:unhideWhenUsed/>
    <w:rsid w:val="007C17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7C1"/>
  </w:style>
  <w:style w:type="paragraph" w:styleId="Footer">
    <w:name w:val="footer"/>
    <w:basedOn w:val="Normal"/>
    <w:link w:val="FooterChar"/>
    <w:uiPriority w:val="99"/>
    <w:unhideWhenUsed/>
    <w:rsid w:val="007C17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7C1"/>
  </w:style>
  <w:style w:type="paragraph" w:styleId="ListParagraph">
    <w:name w:val="List Paragraph"/>
    <w:basedOn w:val="Normal"/>
    <w:uiPriority w:val="34"/>
    <w:qFormat/>
    <w:rsid w:val="00C66643"/>
    <w:pPr>
      <w:ind w:left="720"/>
      <w:contextualSpacing/>
    </w:pPr>
  </w:style>
  <w:style w:type="character" w:styleId="CommentReference">
    <w:name w:val="annotation reference"/>
    <w:basedOn w:val="DefaultParagraphFont"/>
    <w:uiPriority w:val="99"/>
    <w:semiHidden/>
    <w:unhideWhenUsed/>
    <w:rsid w:val="00B3156F"/>
    <w:rPr>
      <w:sz w:val="16"/>
      <w:szCs w:val="16"/>
    </w:rPr>
  </w:style>
  <w:style w:type="paragraph" w:styleId="CommentText">
    <w:name w:val="annotation text"/>
    <w:basedOn w:val="Normal"/>
    <w:link w:val="CommentTextChar"/>
    <w:uiPriority w:val="99"/>
    <w:semiHidden/>
    <w:unhideWhenUsed/>
    <w:rsid w:val="00B3156F"/>
    <w:pPr>
      <w:spacing w:line="240" w:lineRule="auto"/>
    </w:pPr>
    <w:rPr>
      <w:sz w:val="20"/>
      <w:szCs w:val="20"/>
    </w:rPr>
  </w:style>
  <w:style w:type="character" w:customStyle="1" w:styleId="CommentTextChar">
    <w:name w:val="Comment Text Char"/>
    <w:basedOn w:val="DefaultParagraphFont"/>
    <w:link w:val="CommentText"/>
    <w:uiPriority w:val="99"/>
    <w:semiHidden/>
    <w:rsid w:val="00B3156F"/>
    <w:rPr>
      <w:sz w:val="20"/>
      <w:szCs w:val="20"/>
    </w:rPr>
  </w:style>
  <w:style w:type="paragraph" w:styleId="CommentSubject">
    <w:name w:val="annotation subject"/>
    <w:basedOn w:val="CommentText"/>
    <w:next w:val="CommentText"/>
    <w:link w:val="CommentSubjectChar"/>
    <w:uiPriority w:val="99"/>
    <w:semiHidden/>
    <w:unhideWhenUsed/>
    <w:rsid w:val="00B3156F"/>
    <w:rPr>
      <w:b/>
      <w:bCs/>
    </w:rPr>
  </w:style>
  <w:style w:type="character" w:customStyle="1" w:styleId="CommentSubjectChar">
    <w:name w:val="Comment Subject Char"/>
    <w:basedOn w:val="CommentTextChar"/>
    <w:link w:val="CommentSubject"/>
    <w:uiPriority w:val="99"/>
    <w:semiHidden/>
    <w:rsid w:val="00B3156F"/>
    <w:rPr>
      <w:b/>
      <w:bCs/>
      <w:sz w:val="20"/>
      <w:szCs w:val="20"/>
    </w:rPr>
  </w:style>
  <w:style w:type="paragraph" w:styleId="BalloonText">
    <w:name w:val="Balloon Text"/>
    <w:basedOn w:val="Normal"/>
    <w:link w:val="BalloonTextChar"/>
    <w:uiPriority w:val="99"/>
    <w:semiHidden/>
    <w:unhideWhenUsed/>
    <w:rsid w:val="00B31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6F"/>
    <w:rPr>
      <w:rFonts w:ascii="Segoe UI" w:hAnsi="Segoe UI" w:cs="Segoe UI"/>
      <w:sz w:val="18"/>
      <w:szCs w:val="18"/>
    </w:rPr>
  </w:style>
  <w:style w:type="paragraph" w:styleId="NormalWeb">
    <w:name w:val="Normal (Web)"/>
    <w:basedOn w:val="Normal"/>
    <w:uiPriority w:val="99"/>
    <w:semiHidden/>
    <w:unhideWhenUsed/>
    <w:rsid w:val="002D5F4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1">
    <w:name w:val="Title1"/>
    <w:basedOn w:val="Normal"/>
    <w:rsid w:val="002D5F4D"/>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39"/>
    <w:rsid w:val="002A632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61E"/>
    <w:rPr>
      <w:color w:val="0563C1" w:themeColor="hyperlink"/>
      <w:u w:val="single"/>
    </w:rPr>
  </w:style>
  <w:style w:type="character" w:styleId="FollowedHyperlink">
    <w:name w:val="FollowedHyperlink"/>
    <w:basedOn w:val="DefaultParagraphFont"/>
    <w:uiPriority w:val="99"/>
    <w:semiHidden/>
    <w:unhideWhenUsed/>
    <w:rsid w:val="00285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1708">
      <w:bodyDiv w:val="1"/>
      <w:marLeft w:val="0"/>
      <w:marRight w:val="0"/>
      <w:marTop w:val="0"/>
      <w:marBottom w:val="0"/>
      <w:divBdr>
        <w:top w:val="none" w:sz="0" w:space="0" w:color="auto"/>
        <w:left w:val="none" w:sz="0" w:space="0" w:color="auto"/>
        <w:bottom w:val="none" w:sz="0" w:space="0" w:color="auto"/>
        <w:right w:val="none" w:sz="0" w:space="0" w:color="auto"/>
      </w:divBdr>
      <w:divsChild>
        <w:div w:id="647904637">
          <w:marLeft w:val="0"/>
          <w:marRight w:val="0"/>
          <w:marTop w:val="57"/>
          <w:marBottom w:val="57"/>
          <w:divBdr>
            <w:top w:val="none" w:sz="0" w:space="0" w:color="auto"/>
            <w:left w:val="none" w:sz="0" w:space="0" w:color="auto"/>
            <w:bottom w:val="none" w:sz="0" w:space="0" w:color="auto"/>
            <w:right w:val="none" w:sz="0" w:space="0" w:color="auto"/>
          </w:divBdr>
        </w:div>
      </w:divsChild>
    </w:div>
    <w:div w:id="1147673484">
      <w:bodyDiv w:val="1"/>
      <w:marLeft w:val="0"/>
      <w:marRight w:val="0"/>
      <w:marTop w:val="0"/>
      <w:marBottom w:val="0"/>
      <w:divBdr>
        <w:top w:val="none" w:sz="0" w:space="0" w:color="auto"/>
        <w:left w:val="none" w:sz="0" w:space="0" w:color="auto"/>
        <w:bottom w:val="none" w:sz="0" w:space="0" w:color="auto"/>
        <w:right w:val="none" w:sz="0" w:space="0" w:color="auto"/>
      </w:divBdr>
      <w:divsChild>
        <w:div w:id="2018799962">
          <w:marLeft w:val="0"/>
          <w:marRight w:val="0"/>
          <w:marTop w:val="113"/>
          <w:marBottom w:val="0"/>
          <w:divBdr>
            <w:top w:val="none" w:sz="0" w:space="0" w:color="auto"/>
            <w:left w:val="none" w:sz="0" w:space="0" w:color="auto"/>
            <w:bottom w:val="none" w:sz="0" w:space="0" w:color="auto"/>
            <w:right w:val="none" w:sz="0" w:space="0" w:color="auto"/>
          </w:divBdr>
        </w:div>
      </w:divsChild>
    </w:div>
    <w:div w:id="1582523188">
      <w:bodyDiv w:val="1"/>
      <w:marLeft w:val="0"/>
      <w:marRight w:val="0"/>
      <w:marTop w:val="0"/>
      <w:marBottom w:val="0"/>
      <w:divBdr>
        <w:top w:val="none" w:sz="0" w:space="0" w:color="auto"/>
        <w:left w:val="none" w:sz="0" w:space="0" w:color="auto"/>
        <w:bottom w:val="none" w:sz="0" w:space="0" w:color="auto"/>
        <w:right w:val="none" w:sz="0" w:space="0" w:color="auto"/>
      </w:divBdr>
      <w:divsChild>
        <w:div w:id="1747337888">
          <w:marLeft w:val="0"/>
          <w:marRight w:val="0"/>
          <w:marTop w:val="0"/>
          <w:marBottom w:val="0"/>
          <w:divBdr>
            <w:top w:val="none" w:sz="0" w:space="0" w:color="auto"/>
            <w:left w:val="none" w:sz="0" w:space="0" w:color="auto"/>
            <w:bottom w:val="none" w:sz="0" w:space="0" w:color="auto"/>
            <w:right w:val="none" w:sz="0" w:space="0" w:color="auto"/>
          </w:divBdr>
        </w:div>
        <w:div w:id="138040648">
          <w:marLeft w:val="0"/>
          <w:marRight w:val="0"/>
          <w:marTop w:val="0"/>
          <w:marBottom w:val="0"/>
          <w:divBdr>
            <w:top w:val="none" w:sz="0" w:space="0" w:color="auto"/>
            <w:left w:val="none" w:sz="0" w:space="0" w:color="auto"/>
            <w:bottom w:val="none" w:sz="0" w:space="0" w:color="auto"/>
            <w:right w:val="none" w:sz="0" w:space="0" w:color="auto"/>
          </w:divBdr>
          <w:divsChild>
            <w:div w:id="228272403">
              <w:marLeft w:val="0"/>
              <w:marRight w:val="0"/>
              <w:marTop w:val="0"/>
              <w:marBottom w:val="0"/>
              <w:divBdr>
                <w:top w:val="none" w:sz="0" w:space="0" w:color="auto"/>
                <w:left w:val="none" w:sz="0" w:space="0" w:color="auto"/>
                <w:bottom w:val="none" w:sz="0" w:space="0" w:color="auto"/>
                <w:right w:val="none" w:sz="0" w:space="0" w:color="auto"/>
              </w:divBdr>
            </w:div>
            <w:div w:id="10972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081">
      <w:bodyDiv w:val="1"/>
      <w:marLeft w:val="0"/>
      <w:marRight w:val="0"/>
      <w:marTop w:val="0"/>
      <w:marBottom w:val="0"/>
      <w:divBdr>
        <w:top w:val="none" w:sz="0" w:space="0" w:color="auto"/>
        <w:left w:val="none" w:sz="0" w:space="0" w:color="auto"/>
        <w:bottom w:val="none" w:sz="0" w:space="0" w:color="auto"/>
        <w:right w:val="none" w:sz="0" w:space="0" w:color="auto"/>
      </w:divBdr>
      <w:divsChild>
        <w:div w:id="965044757">
          <w:marLeft w:val="0"/>
          <w:marRight w:val="0"/>
          <w:marTop w:val="113"/>
          <w:marBottom w:val="0"/>
          <w:divBdr>
            <w:top w:val="none" w:sz="0" w:space="0" w:color="auto"/>
            <w:left w:val="none" w:sz="0" w:space="0" w:color="auto"/>
            <w:bottom w:val="none" w:sz="0" w:space="0" w:color="auto"/>
            <w:right w:val="none" w:sz="0" w:space="0" w:color="auto"/>
          </w:divBdr>
        </w:div>
      </w:divsChild>
    </w:div>
    <w:div w:id="1972052500">
      <w:bodyDiv w:val="1"/>
      <w:marLeft w:val="0"/>
      <w:marRight w:val="0"/>
      <w:marTop w:val="0"/>
      <w:marBottom w:val="0"/>
      <w:divBdr>
        <w:top w:val="none" w:sz="0" w:space="0" w:color="auto"/>
        <w:left w:val="none" w:sz="0" w:space="0" w:color="auto"/>
        <w:bottom w:val="none" w:sz="0" w:space="0" w:color="auto"/>
        <w:right w:val="none" w:sz="0" w:space="0" w:color="auto"/>
      </w:divBdr>
      <w:divsChild>
        <w:div w:id="1333337116">
          <w:marLeft w:val="0"/>
          <w:marRight w:val="0"/>
          <w:marTop w:val="0"/>
          <w:marBottom w:val="0"/>
          <w:divBdr>
            <w:top w:val="none" w:sz="0" w:space="0" w:color="auto"/>
            <w:left w:val="none" w:sz="0" w:space="0" w:color="auto"/>
            <w:bottom w:val="none" w:sz="0" w:space="0" w:color="auto"/>
            <w:right w:val="none" w:sz="0" w:space="0" w:color="auto"/>
          </w:divBdr>
          <w:divsChild>
            <w:div w:id="176385364">
              <w:marLeft w:val="0"/>
              <w:marRight w:val="0"/>
              <w:marTop w:val="0"/>
              <w:marBottom w:val="0"/>
              <w:divBdr>
                <w:top w:val="none" w:sz="0" w:space="0" w:color="auto"/>
                <w:left w:val="none" w:sz="0" w:space="0" w:color="auto"/>
                <w:bottom w:val="none" w:sz="0" w:space="0" w:color="auto"/>
                <w:right w:val="none" w:sz="0" w:space="0" w:color="auto"/>
              </w:divBdr>
              <w:divsChild>
                <w:div w:id="1042904576">
                  <w:marLeft w:val="0"/>
                  <w:marRight w:val="0"/>
                  <w:marTop w:val="0"/>
                  <w:marBottom w:val="0"/>
                  <w:divBdr>
                    <w:top w:val="none" w:sz="0" w:space="0" w:color="auto"/>
                    <w:left w:val="none" w:sz="0" w:space="0" w:color="auto"/>
                    <w:bottom w:val="none" w:sz="0" w:space="0" w:color="auto"/>
                    <w:right w:val="none" w:sz="0" w:space="0" w:color="auto"/>
                  </w:divBdr>
                  <w:divsChild>
                    <w:div w:id="1175418079">
                      <w:marLeft w:val="0"/>
                      <w:marRight w:val="0"/>
                      <w:marTop w:val="0"/>
                      <w:marBottom w:val="0"/>
                      <w:divBdr>
                        <w:top w:val="none" w:sz="0" w:space="0" w:color="auto"/>
                        <w:left w:val="none" w:sz="0" w:space="0" w:color="auto"/>
                        <w:bottom w:val="none" w:sz="0" w:space="0" w:color="auto"/>
                        <w:right w:val="none" w:sz="0" w:space="0" w:color="auto"/>
                      </w:divBdr>
                      <w:divsChild>
                        <w:div w:id="196427245">
                          <w:marLeft w:val="0"/>
                          <w:marRight w:val="0"/>
                          <w:marTop w:val="150"/>
                          <w:marBottom w:val="0"/>
                          <w:divBdr>
                            <w:top w:val="none" w:sz="0" w:space="0" w:color="auto"/>
                            <w:left w:val="none" w:sz="0" w:space="0" w:color="auto"/>
                            <w:bottom w:val="none" w:sz="0" w:space="0" w:color="auto"/>
                            <w:right w:val="none" w:sz="0" w:space="0" w:color="auto"/>
                          </w:divBdr>
                          <w:divsChild>
                            <w:div w:id="2060326040">
                              <w:marLeft w:val="-225"/>
                              <w:marRight w:val="-225"/>
                              <w:marTop w:val="0"/>
                              <w:marBottom w:val="0"/>
                              <w:divBdr>
                                <w:top w:val="none" w:sz="0" w:space="0" w:color="auto"/>
                                <w:left w:val="none" w:sz="0" w:space="0" w:color="auto"/>
                                <w:bottom w:val="none" w:sz="0" w:space="0" w:color="auto"/>
                                <w:right w:val="none" w:sz="0" w:space="0" w:color="auto"/>
                              </w:divBdr>
                              <w:divsChild>
                                <w:div w:id="467625521">
                                  <w:marLeft w:val="0"/>
                                  <w:marRight w:val="0"/>
                                  <w:marTop w:val="0"/>
                                  <w:marBottom w:val="0"/>
                                  <w:divBdr>
                                    <w:top w:val="none" w:sz="0" w:space="0" w:color="auto"/>
                                    <w:left w:val="none" w:sz="0" w:space="0" w:color="auto"/>
                                    <w:bottom w:val="none" w:sz="0" w:space="0" w:color="auto"/>
                                    <w:right w:val="none" w:sz="0" w:space="0" w:color="auto"/>
                                  </w:divBdr>
                                  <w:divsChild>
                                    <w:div w:id="106197851">
                                      <w:marLeft w:val="0"/>
                                      <w:marRight w:val="0"/>
                                      <w:marTop w:val="0"/>
                                      <w:marBottom w:val="0"/>
                                      <w:divBdr>
                                        <w:top w:val="none" w:sz="0" w:space="0" w:color="auto"/>
                                        <w:left w:val="none" w:sz="0" w:space="0" w:color="auto"/>
                                        <w:bottom w:val="none" w:sz="0" w:space="0" w:color="auto"/>
                                        <w:right w:val="none" w:sz="0" w:space="0" w:color="auto"/>
                                      </w:divBdr>
                                      <w:divsChild>
                                        <w:div w:id="198468275">
                                          <w:marLeft w:val="0"/>
                                          <w:marRight w:val="0"/>
                                          <w:marTop w:val="150"/>
                                          <w:marBottom w:val="0"/>
                                          <w:divBdr>
                                            <w:top w:val="none" w:sz="0" w:space="0" w:color="auto"/>
                                            <w:left w:val="none" w:sz="0" w:space="0" w:color="auto"/>
                                            <w:bottom w:val="none" w:sz="0" w:space="0" w:color="auto"/>
                                            <w:right w:val="none" w:sz="0" w:space="0" w:color="auto"/>
                                          </w:divBdr>
                                          <w:divsChild>
                                            <w:div w:id="20826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aop.bg/wp-content/uploads/2022/04/MU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stat.nsi.bg/infostat/pages/reports/query.jsf?x_2=19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6852-5FF3-4AB5-94DF-1BFFB296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ZORNITSA DIMITROVA-BOZHIKOVA</dc:creator>
  <cp:keywords/>
  <dc:description/>
  <cp:lastModifiedBy>PLAMEN TODOROV ILIEV</cp:lastModifiedBy>
  <cp:revision>4</cp:revision>
  <dcterms:created xsi:type="dcterms:W3CDTF">2022-10-21T14:22:00Z</dcterms:created>
  <dcterms:modified xsi:type="dcterms:W3CDTF">2022-10-21T14:51:00Z</dcterms:modified>
</cp:coreProperties>
</file>